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黑体" w:cs="Times New Roman"/>
          <w:bCs/>
          <w:color w:val="000000"/>
          <w:kern w:val="2"/>
          <w:sz w:val="52"/>
          <w:szCs w:val="52"/>
        </w:rPr>
      </w:pPr>
      <w:r>
        <w:rPr>
          <w:rFonts w:hint="default" w:ascii="Times New Roman" w:hAnsi="Times New Roman" w:eastAsia="黑体" w:cs="Times New Roman"/>
          <w:bCs/>
          <w:color w:val="000000"/>
          <w:spacing w:val="30"/>
          <w:kern w:val="0"/>
          <w:sz w:val="52"/>
          <w:szCs w:val="52"/>
          <w:fitText w:val="5742" w:id="1450529788"/>
        </w:rPr>
        <w:t>国家市场监督管理总</w:t>
      </w:r>
      <w:r>
        <w:rPr>
          <w:rFonts w:hint="default" w:ascii="Times New Roman" w:hAnsi="Times New Roman" w:eastAsia="黑体" w:cs="Times New Roman"/>
          <w:bCs/>
          <w:color w:val="000000"/>
          <w:spacing w:val="1"/>
          <w:kern w:val="0"/>
          <w:sz w:val="52"/>
          <w:szCs w:val="52"/>
          <w:fitText w:val="5742" w:id="1450529788"/>
        </w:rPr>
        <w:t>局</w:t>
      </w:r>
    </w:p>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仿宋_GB2312" w:cs="Times New Roman"/>
          <w:color w:val="000000"/>
          <w:kern w:val="2"/>
          <w:sz w:val="44"/>
          <w:szCs w:val="44"/>
        </w:rPr>
      </w:pPr>
      <w:r>
        <w:rPr>
          <w:rFonts w:hint="default" w:ascii="Times New Roman" w:hAnsi="Times New Roman" w:eastAsia="黑体" w:cs="Times New Roman"/>
          <w:bCs/>
          <w:color w:val="000000"/>
          <w:spacing w:val="175"/>
          <w:kern w:val="0"/>
          <w:sz w:val="52"/>
          <w:szCs w:val="52"/>
          <w:fitText w:val="5742" w:id="1"/>
        </w:rPr>
        <w:t>行政处罚决定</w:t>
      </w:r>
      <w:r>
        <w:rPr>
          <w:rFonts w:hint="default" w:ascii="Times New Roman" w:hAnsi="Times New Roman" w:eastAsia="黑体" w:cs="Times New Roman"/>
          <w:bCs/>
          <w:color w:val="000000"/>
          <w:spacing w:val="1"/>
          <w:kern w:val="0"/>
          <w:sz w:val="52"/>
          <w:szCs w:val="52"/>
          <w:fitText w:val="5742" w:id="1"/>
        </w:rPr>
        <w:t>书</w:t>
      </w:r>
    </w:p>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国市监处</w:t>
      </w:r>
      <w:r>
        <w:rPr>
          <w:rFonts w:hint="eastAsia" w:eastAsia="仿宋_GB2312" w:cs="Times New Roman"/>
          <w:kern w:val="2"/>
          <w:sz w:val="32"/>
          <w:szCs w:val="32"/>
          <w:lang w:eastAsia="zh-CN"/>
        </w:rPr>
        <w:t>罚</w:t>
      </w:r>
      <w:r>
        <w:rPr>
          <w:rFonts w:hint="default" w:ascii="Times New Roman" w:hAnsi="Times New Roman" w:eastAsia="仿宋_GB2312" w:cs="Times New Roman"/>
          <w:kern w:val="2"/>
          <w:sz w:val="32"/>
          <w:szCs w:val="32"/>
        </w:rPr>
        <w:t>〔202</w:t>
      </w:r>
      <w:r>
        <w:rPr>
          <w:rFonts w:hint="eastAsia" w:eastAsia="仿宋_GB2312" w:cs="Times New Roman"/>
          <w:kern w:val="2"/>
          <w:sz w:val="32"/>
          <w:szCs w:val="32"/>
          <w:lang w:val="en-US" w:eastAsia="zh-CN"/>
        </w:rPr>
        <w:t>2</w:t>
      </w:r>
      <w:r>
        <w:rPr>
          <w:rFonts w:hint="default" w:ascii="Times New Roman" w:hAnsi="Times New Roman" w:eastAsia="仿宋_GB2312" w:cs="Times New Roman"/>
          <w:kern w:val="2"/>
          <w:sz w:val="32"/>
          <w:szCs w:val="32"/>
        </w:rPr>
        <w:t>〕</w:t>
      </w:r>
      <w:r>
        <w:rPr>
          <w:rFonts w:hint="eastAsia" w:eastAsia="仿宋_GB2312" w:cs="Times New Roman"/>
          <w:kern w:val="2"/>
          <w:sz w:val="32"/>
          <w:szCs w:val="32"/>
          <w:lang w:val="en-US" w:eastAsia="zh-CN"/>
        </w:rPr>
        <w:t>4</w:t>
      </w:r>
      <w:r>
        <w:rPr>
          <w:rFonts w:hint="default" w:ascii="Times New Roman" w:hAnsi="Times New Roman" w:eastAsia="仿宋_GB2312" w:cs="Times New Roman"/>
          <w:kern w:val="2"/>
          <w:sz w:val="32"/>
          <w:szCs w:val="32"/>
        </w:rPr>
        <w:t>号</w:t>
      </w:r>
    </w:p>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仿宋_GB2312" w:cs="Times New Roman"/>
          <w:kern w:val="2"/>
          <w:sz w:val="28"/>
          <w:szCs w:val="28"/>
        </w:rPr>
      </w:pPr>
    </w:p>
    <w:p>
      <w:pPr>
        <w:pStyle w:val="3"/>
        <w:keepNext w:val="0"/>
        <w:keepLines w:val="0"/>
        <w:pageBreakBefore w:val="0"/>
        <w:widowControl w:val="0"/>
        <w:kinsoku/>
        <w:wordWrap/>
        <w:topLinePunct w:val="0"/>
        <w:bidi w:val="0"/>
        <w:spacing w:line="594" w:lineRule="exact"/>
        <w:ind w:left="0" w:leftChars="0" w:firstLine="619" w:firstLineChars="197"/>
        <w:textAlignment w:val="auto"/>
        <w:rPr>
          <w:rFonts w:hint="default" w:ascii="Times New Roman" w:hAnsi="Times New Roman" w:eastAsia="仿宋_GB2312" w:cs="Times New Roman"/>
          <w:sz w:val="32"/>
          <w:lang w:val="en-US" w:eastAsia="zh-CN"/>
        </w:rPr>
      </w:pPr>
      <w:r>
        <w:rPr>
          <w:rFonts w:hint="default" w:ascii="Times New Roman" w:hAnsi="Times New Roman" w:eastAsia="黑体" w:cs="Times New Roman"/>
          <w:kern w:val="2"/>
          <w:sz w:val="32"/>
          <w:szCs w:val="32"/>
        </w:rPr>
        <w:t>当事人：</w:t>
      </w:r>
      <w:r>
        <w:rPr>
          <w:rFonts w:hint="eastAsia" w:ascii="Times New Roman" w:hAnsi="Times New Roman" w:eastAsia="仿宋_GB2312" w:cs="Times New Roman"/>
          <w:sz w:val="32"/>
          <w:highlight w:val="none"/>
        </w:rPr>
        <w:t>阿波罗亚洲房地产管理有限公司（Apollo Asia Real Estate Management, LLC</w:t>
      </w:r>
      <w:r>
        <w:rPr>
          <w:rFonts w:hint="eastAsia" w:ascii="Times New Roman" w:hAnsi="Times New Roman" w:eastAsia="仿宋_GB2312" w:cs="Times New Roman"/>
          <w:sz w:val="32"/>
          <w:highlight w:val="none"/>
          <w:lang w:val="en-US" w:eastAsia="zh-CN"/>
        </w:rPr>
        <w:t>）</w:t>
      </w:r>
    </w:p>
    <w:p>
      <w:pPr>
        <w:pStyle w:val="3"/>
        <w:keepNext w:val="0"/>
        <w:keepLines w:val="0"/>
        <w:pageBreakBefore w:val="0"/>
        <w:widowControl w:val="0"/>
        <w:kinsoku/>
        <w:wordWrap/>
        <w:topLinePunct w:val="0"/>
        <w:bidi w:val="0"/>
        <w:spacing w:line="594" w:lineRule="exact"/>
        <w:ind w:left="0" w:leftChars="0" w:firstLine="619" w:firstLineChars="197"/>
        <w:textAlignment w:val="auto"/>
        <w:rPr>
          <w:rFonts w:hint="default" w:ascii="Times New Roman" w:hAnsi="Times New Roman" w:eastAsia="仿宋_GB2312" w:cs="Times New Roman"/>
          <w:kern w:val="2"/>
          <w:sz w:val="32"/>
          <w:szCs w:val="32"/>
          <w:lang w:val="en-US" w:eastAsia="zh-CN"/>
        </w:rPr>
      </w:pPr>
      <w:r>
        <w:rPr>
          <w:rFonts w:hint="default" w:ascii="Times New Roman" w:hAnsi="Times New Roman" w:eastAsia="黑体" w:cs="Times New Roman"/>
          <w:kern w:val="2"/>
          <w:sz w:val="32"/>
          <w:szCs w:val="32"/>
        </w:rPr>
        <w:t xml:space="preserve">住 </w:t>
      </w:r>
      <w:r>
        <w:rPr>
          <w:rFonts w:hint="eastAsia" w:ascii="Times New Roman" w:hAnsi="Times New Roman" w:eastAsia="黑体" w:cs="Times New Roman"/>
          <w:kern w:val="2"/>
          <w:sz w:val="32"/>
          <w:szCs w:val="32"/>
          <w:lang w:val="en-US" w:eastAsia="zh-CN"/>
        </w:rPr>
        <w:t xml:space="preserve"> </w:t>
      </w:r>
      <w:r>
        <w:rPr>
          <w:rFonts w:hint="default" w:ascii="Times New Roman" w:hAnsi="Times New Roman" w:eastAsia="黑体" w:cs="Times New Roman"/>
          <w:kern w:val="2"/>
          <w:sz w:val="32"/>
          <w:szCs w:val="32"/>
        </w:rPr>
        <w:t>所：</w:t>
      </w:r>
      <w:r>
        <w:rPr>
          <w:rFonts w:hint="default" w:ascii="Times New Roman" w:hAnsi="Times New Roman" w:eastAsia="仿宋_GB2312" w:cs="Times New Roman"/>
          <w:sz w:val="32"/>
          <w:highlight w:val="none"/>
        </w:rPr>
        <w:t>251 Little Falls Drive</w:t>
      </w:r>
      <w:r>
        <w:rPr>
          <w:rFonts w:hint="eastAsia" w:ascii="Times New Roman" w:hAnsi="Times New Roman" w:eastAsia="仿宋_GB2312" w:cs="Times New Roman"/>
          <w:sz w:val="32"/>
          <w:highlight w:val="none"/>
          <w:lang w:eastAsia="zh-CN"/>
        </w:rPr>
        <w:t>，</w:t>
      </w:r>
      <w:r>
        <w:rPr>
          <w:rFonts w:hint="default" w:ascii="Times New Roman" w:hAnsi="Times New Roman" w:eastAsia="仿宋_GB2312" w:cs="Times New Roman"/>
          <w:sz w:val="32"/>
          <w:highlight w:val="none"/>
        </w:rPr>
        <w:t>威尔明顿</w:t>
      </w:r>
      <w:r>
        <w:rPr>
          <w:rFonts w:hint="default" w:ascii="Times New Roman" w:hAnsi="Times New Roman" w:eastAsia="仿宋_GB2312" w:cs="Times New Roman"/>
          <w:sz w:val="32"/>
          <w:highlight w:val="none"/>
          <w:lang w:val="en-US" w:eastAsia="zh-CN"/>
        </w:rPr>
        <w:t xml:space="preserve">   </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sz w:val="32"/>
          <w:szCs w:val="32"/>
          <w:lang w:eastAsia="zh-CN"/>
        </w:rPr>
      </w:pPr>
    </w:p>
    <w:p>
      <w:pPr>
        <w:keepNext w:val="0"/>
        <w:keepLines w:val="0"/>
        <w:pageBreakBefore w:val="0"/>
        <w:widowControl w:val="0"/>
        <w:suppressAutoHyphens/>
        <w:kinsoku/>
        <w:wordWrap/>
        <w:overflowPunct w:val="0"/>
        <w:topLinePunct w:val="0"/>
        <w:autoSpaceDE w:val="0"/>
        <w:autoSpaceDN w:val="0"/>
        <w:bidi w:val="0"/>
        <w:adjustRightInd w:val="0"/>
        <w:snapToGrid/>
        <w:spacing w:line="594" w:lineRule="exact"/>
        <w:ind w:firstLine="628" w:firstLineChars="200"/>
        <w:textAlignment w:val="auto"/>
        <w:outlineLvl w:val="9"/>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sz w:val="32"/>
          <w:szCs w:val="32"/>
          <w:lang w:eastAsia="zh-CN"/>
        </w:rPr>
        <w:t>根据《中华人民共和国反垄断法》（以下简称《反垄断法》）《经营者集中审查暂行规定》，本机关于</w:t>
      </w:r>
      <w:r>
        <w:rPr>
          <w:rFonts w:hint="default" w:ascii="Times New Roman" w:hAnsi="Times New Roman" w:eastAsia="仿宋_GB2312" w:cs="Times New Roman"/>
          <w:sz w:val="32"/>
          <w:szCs w:val="32"/>
          <w:lang w:val="en-US" w:eastAsia="zh-CN"/>
        </w:rPr>
        <w:t>2021年11月19日</w:t>
      </w:r>
      <w:r>
        <w:rPr>
          <w:rFonts w:hint="default" w:ascii="Times New Roman" w:hAnsi="Times New Roman" w:eastAsia="仿宋_GB2312" w:cs="Times New Roman"/>
          <w:sz w:val="32"/>
          <w:szCs w:val="32"/>
          <w:lang w:eastAsia="zh-CN"/>
        </w:rPr>
        <w:t>对</w:t>
      </w:r>
      <w:r>
        <w:rPr>
          <w:rFonts w:hint="default" w:ascii="Times New Roman" w:hAnsi="Times New Roman" w:eastAsia="仿宋_GB2312" w:cs="Times New Roman"/>
          <w:kern w:val="2"/>
          <w:sz w:val="32"/>
          <w:szCs w:val="32"/>
          <w:lang w:eastAsia="zh-CN"/>
        </w:rPr>
        <w:t>阿波罗亚洲房地产管理有限公司（Apollo Asia Real Estate Management, LLC，以下简称阿波罗亚洲房地产）收购唯迅有限公司（以下简称唯迅）股权</w:t>
      </w:r>
      <w:r>
        <w:rPr>
          <w:rFonts w:hint="default" w:ascii="Times New Roman" w:hAnsi="Times New Roman" w:eastAsia="仿宋_GB2312" w:cs="Times New Roman"/>
          <w:sz w:val="32"/>
        </w:rPr>
        <w:t>涉嫌</w:t>
      </w:r>
      <w:r>
        <w:rPr>
          <w:rFonts w:hint="eastAsia" w:eastAsia="仿宋_GB2312" w:cs="Times New Roman"/>
          <w:color w:val="auto"/>
          <w:sz w:val="32"/>
          <w:lang w:val="en-US" w:eastAsia="zh-CN"/>
        </w:rPr>
        <w:t>未依法申报</w:t>
      </w:r>
      <w:r>
        <w:rPr>
          <w:rFonts w:hint="default" w:ascii="Times New Roman" w:hAnsi="Times New Roman" w:eastAsia="仿宋_GB2312" w:cs="Times New Roman"/>
          <w:color w:val="auto"/>
          <w:sz w:val="32"/>
          <w:lang w:val="en-US" w:eastAsia="zh-CN"/>
        </w:rPr>
        <w:t>违法实施经营者集中案</w:t>
      </w:r>
      <w:r>
        <w:rPr>
          <w:rFonts w:hint="default" w:ascii="Times New Roman" w:hAnsi="Times New Roman" w:eastAsia="仿宋_GB2312" w:cs="Times New Roman"/>
          <w:color w:val="auto"/>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color w:val="auto"/>
          <w:kern w:val="2"/>
          <w:sz w:val="32"/>
          <w:szCs w:val="32"/>
        </w:rPr>
        <w:t>经查，该案构成</w:t>
      </w:r>
      <w:r>
        <w:rPr>
          <w:rFonts w:hint="eastAsia" w:eastAsia="仿宋_GB2312" w:cs="Times New Roman"/>
          <w:color w:val="auto"/>
          <w:kern w:val="2"/>
          <w:sz w:val="32"/>
          <w:szCs w:val="32"/>
          <w:lang w:eastAsia="zh-CN"/>
        </w:rPr>
        <w:t>未依法申报</w:t>
      </w:r>
      <w:r>
        <w:rPr>
          <w:rFonts w:hint="default" w:ascii="Times New Roman" w:hAnsi="Times New Roman" w:eastAsia="仿宋_GB2312" w:cs="Times New Roman"/>
          <w:color w:val="auto"/>
          <w:kern w:val="2"/>
          <w:sz w:val="32"/>
          <w:szCs w:val="32"/>
        </w:rPr>
        <w:t>违法实施经营者</w:t>
      </w:r>
      <w:bookmarkStart w:id="0" w:name="_GoBack"/>
      <w:bookmarkEnd w:id="0"/>
      <w:r>
        <w:rPr>
          <w:rFonts w:hint="default" w:ascii="Times New Roman" w:hAnsi="Times New Roman" w:eastAsia="仿宋_GB2312" w:cs="Times New Roman"/>
          <w:color w:val="auto"/>
          <w:kern w:val="2"/>
          <w:sz w:val="32"/>
          <w:szCs w:val="32"/>
        </w:rPr>
        <w:t>集中，但不具有排除、限制竞争的效果。本机关按照《</w:t>
      </w:r>
      <w:r>
        <w:rPr>
          <w:rFonts w:hint="default" w:ascii="Times New Roman" w:hAnsi="Times New Roman" w:eastAsia="仿宋_GB2312" w:cs="Times New Roman"/>
          <w:color w:val="auto"/>
          <w:kern w:val="2"/>
          <w:sz w:val="32"/>
          <w:szCs w:val="32"/>
          <w:lang w:eastAsia="zh-CN"/>
        </w:rPr>
        <w:t>中华人民共和国</w:t>
      </w:r>
      <w:r>
        <w:rPr>
          <w:rFonts w:hint="default" w:ascii="Times New Roman" w:hAnsi="Times New Roman" w:eastAsia="仿宋_GB2312" w:cs="Times New Roman"/>
          <w:color w:val="auto"/>
          <w:kern w:val="2"/>
          <w:sz w:val="32"/>
          <w:szCs w:val="32"/>
        </w:rPr>
        <w:t>行政处罚法》</w:t>
      </w:r>
      <w:r>
        <w:rPr>
          <w:rFonts w:hint="default" w:ascii="Times New Roman" w:hAnsi="Times New Roman" w:eastAsia="仿宋_GB2312" w:cs="Times New Roman"/>
          <w:color w:val="auto"/>
          <w:sz w:val="32"/>
          <w:szCs w:val="32"/>
          <w:lang w:eastAsia="zh-CN"/>
        </w:rPr>
        <w:t>（以下简称</w:t>
      </w:r>
      <w:r>
        <w:rPr>
          <w:rFonts w:hint="default" w:ascii="Times New Roman" w:hAnsi="Times New Roman" w:eastAsia="仿宋_GB2312" w:cs="Times New Roman"/>
          <w:color w:val="auto"/>
          <w:kern w:val="2"/>
          <w:sz w:val="32"/>
          <w:szCs w:val="32"/>
        </w:rPr>
        <w:t>《行政处罚法》</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kern w:val="2"/>
          <w:sz w:val="32"/>
          <w:szCs w:val="32"/>
        </w:rPr>
        <w:t>的规定，向</w:t>
      </w:r>
      <w:r>
        <w:rPr>
          <w:rFonts w:hint="eastAsia" w:eastAsia="仿宋_GB2312" w:cs="Times New Roman"/>
          <w:sz w:val="32"/>
          <w:lang w:val="en-US" w:eastAsia="zh-CN"/>
        </w:rPr>
        <w:t>阿波罗亚洲房地产</w:t>
      </w:r>
      <w:r>
        <w:rPr>
          <w:rFonts w:hint="default" w:ascii="Times New Roman" w:hAnsi="Times New Roman" w:eastAsia="仿宋_GB2312" w:cs="Times New Roman"/>
          <w:color w:val="auto"/>
          <w:kern w:val="2"/>
          <w:sz w:val="32"/>
          <w:szCs w:val="32"/>
        </w:rPr>
        <w:t>送达了《行政处罚告知书》，告知</w:t>
      </w:r>
      <w:r>
        <w:rPr>
          <w:rFonts w:hint="eastAsia" w:eastAsia="仿宋_GB2312" w:cs="Times New Roman"/>
          <w:color w:val="auto"/>
          <w:kern w:val="2"/>
          <w:sz w:val="32"/>
          <w:szCs w:val="32"/>
          <w:lang w:eastAsia="zh-CN"/>
        </w:rPr>
        <w:t>当事人</w:t>
      </w:r>
      <w:r>
        <w:rPr>
          <w:rFonts w:hint="default" w:ascii="Times New Roman" w:hAnsi="Times New Roman" w:eastAsia="仿宋_GB2312" w:cs="Times New Roman"/>
          <w:color w:val="auto"/>
          <w:kern w:val="2"/>
          <w:sz w:val="32"/>
          <w:szCs w:val="32"/>
        </w:rPr>
        <w:t>拟作出</w:t>
      </w:r>
      <w:r>
        <w:rPr>
          <w:rFonts w:hint="eastAsia" w:eastAsia="仿宋_GB2312" w:cs="Times New Roman"/>
          <w:color w:val="auto"/>
          <w:kern w:val="2"/>
          <w:sz w:val="32"/>
          <w:szCs w:val="32"/>
          <w:lang w:eastAsia="zh-CN"/>
        </w:rPr>
        <w:t>的</w:t>
      </w:r>
      <w:r>
        <w:rPr>
          <w:rFonts w:hint="default" w:ascii="Times New Roman" w:hAnsi="Times New Roman" w:eastAsia="仿宋_GB2312" w:cs="Times New Roman"/>
          <w:color w:val="auto"/>
          <w:kern w:val="2"/>
          <w:sz w:val="32"/>
          <w:szCs w:val="32"/>
        </w:rPr>
        <w:t>行政处罚</w:t>
      </w:r>
      <w:r>
        <w:rPr>
          <w:rFonts w:hint="eastAsia" w:eastAsia="仿宋_GB2312" w:cs="Times New Roman"/>
          <w:color w:val="auto"/>
          <w:kern w:val="2"/>
          <w:sz w:val="32"/>
          <w:szCs w:val="32"/>
          <w:lang w:eastAsia="zh-CN"/>
        </w:rPr>
        <w:t>内容及</w:t>
      </w:r>
      <w:r>
        <w:rPr>
          <w:rFonts w:hint="default" w:ascii="Times New Roman" w:hAnsi="Times New Roman" w:eastAsia="仿宋_GB2312" w:cs="Times New Roman"/>
          <w:color w:val="auto"/>
          <w:kern w:val="2"/>
          <w:sz w:val="32"/>
          <w:szCs w:val="32"/>
        </w:rPr>
        <w:t>事实、理由、</w:t>
      </w:r>
      <w:r>
        <w:rPr>
          <w:rFonts w:hint="eastAsia" w:eastAsia="仿宋_GB2312" w:cs="Times New Roman"/>
          <w:color w:val="auto"/>
          <w:kern w:val="2"/>
          <w:sz w:val="32"/>
          <w:szCs w:val="32"/>
          <w:lang w:eastAsia="zh-CN"/>
        </w:rPr>
        <w:t>依据</w:t>
      </w:r>
      <w:r>
        <w:rPr>
          <w:rFonts w:hint="default" w:ascii="Times New Roman" w:hAnsi="Times New Roman" w:eastAsia="仿宋_GB2312" w:cs="Times New Roman"/>
          <w:color w:val="auto"/>
          <w:kern w:val="2"/>
          <w:sz w:val="32"/>
          <w:szCs w:val="32"/>
        </w:rPr>
        <w:t>，</w:t>
      </w:r>
      <w:r>
        <w:rPr>
          <w:rFonts w:hint="eastAsia" w:eastAsia="仿宋_GB2312" w:cs="Times New Roman"/>
          <w:color w:val="auto"/>
          <w:kern w:val="2"/>
          <w:sz w:val="32"/>
          <w:szCs w:val="32"/>
          <w:lang w:eastAsia="zh-CN"/>
        </w:rPr>
        <w:t>并告知当事人</w:t>
      </w:r>
      <w:r>
        <w:rPr>
          <w:rFonts w:hint="default" w:ascii="Times New Roman" w:hAnsi="Times New Roman" w:eastAsia="仿宋_GB2312" w:cs="Times New Roman"/>
          <w:color w:val="auto"/>
          <w:kern w:val="2"/>
          <w:sz w:val="32"/>
          <w:szCs w:val="32"/>
        </w:rPr>
        <w:t>依法享有的陈述、申辩</w:t>
      </w:r>
      <w:r>
        <w:rPr>
          <w:rFonts w:hint="eastAsia" w:eastAsia="仿宋_GB2312" w:cs="Times New Roman"/>
          <w:color w:val="auto"/>
          <w:kern w:val="2"/>
          <w:sz w:val="32"/>
          <w:szCs w:val="32"/>
          <w:lang w:eastAsia="zh-CN"/>
        </w:rPr>
        <w:t>、</w:t>
      </w:r>
      <w:r>
        <w:rPr>
          <w:rFonts w:hint="default" w:ascii="Times New Roman" w:hAnsi="Times New Roman" w:eastAsia="仿宋_GB2312" w:cs="Times New Roman"/>
          <w:color w:val="auto"/>
          <w:kern w:val="2"/>
          <w:sz w:val="32"/>
          <w:szCs w:val="32"/>
        </w:rPr>
        <w:t>要求听证</w:t>
      </w:r>
      <w:r>
        <w:rPr>
          <w:rFonts w:hint="eastAsia" w:eastAsia="仿宋_GB2312" w:cs="Times New Roman"/>
          <w:color w:val="auto"/>
          <w:kern w:val="2"/>
          <w:sz w:val="32"/>
          <w:szCs w:val="32"/>
          <w:lang w:eastAsia="zh-CN"/>
        </w:rPr>
        <w:t>的</w:t>
      </w:r>
      <w:r>
        <w:rPr>
          <w:rFonts w:hint="default" w:ascii="Times New Roman" w:hAnsi="Times New Roman" w:eastAsia="仿宋_GB2312" w:cs="Times New Roman"/>
          <w:color w:val="auto"/>
          <w:kern w:val="2"/>
          <w:sz w:val="32"/>
          <w:szCs w:val="32"/>
        </w:rPr>
        <w:t>权</w:t>
      </w:r>
      <w:r>
        <w:rPr>
          <w:rFonts w:hint="eastAsia" w:eastAsia="仿宋_GB2312" w:cs="Times New Roman"/>
          <w:color w:val="auto"/>
          <w:kern w:val="2"/>
          <w:sz w:val="32"/>
          <w:szCs w:val="32"/>
          <w:lang w:eastAsia="zh-CN"/>
        </w:rPr>
        <w:t>利</w:t>
      </w:r>
      <w:r>
        <w:rPr>
          <w:rFonts w:hint="default" w:ascii="Times New Roman" w:hAnsi="Times New Roman" w:eastAsia="仿宋_GB2312" w:cs="Times New Roman"/>
          <w:kern w:val="2"/>
          <w:sz w:val="32"/>
          <w:szCs w:val="32"/>
        </w:rPr>
        <w:t>。</w:t>
      </w:r>
      <w:r>
        <w:rPr>
          <w:rFonts w:hint="eastAsia" w:eastAsia="仿宋_GB2312" w:cs="Times New Roman"/>
          <w:sz w:val="32"/>
          <w:lang w:val="en-US" w:eastAsia="zh-CN"/>
        </w:rPr>
        <w:t>阿波罗亚洲房地产</w:t>
      </w:r>
      <w:r>
        <w:rPr>
          <w:rFonts w:hint="default" w:ascii="Times New Roman" w:hAnsi="Times New Roman" w:eastAsia="仿宋_GB2312" w:cs="Times New Roman"/>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（一）交易方。</w:t>
      </w:r>
    </w:p>
    <w:p>
      <w:pPr>
        <w:pStyle w:val="9"/>
        <w:pageBreakBefore w:val="0"/>
        <w:kinsoku/>
        <w:topLinePunct w:val="0"/>
        <w:bidi w:val="0"/>
        <w:spacing w:line="594" w:lineRule="exact"/>
        <w:ind w:firstLine="641"/>
        <w:textAlignment w:val="auto"/>
        <w:rPr>
          <w:rFonts w:ascii="Times New Roman" w:hAnsi="Times New Roman" w:eastAsia="仿宋_GB2312" w:cs="Times New Roman"/>
          <w:b w:val="0"/>
          <w:bCs/>
          <w:sz w:val="32"/>
          <w:szCs w:val="32"/>
          <w:highlight w:val="none"/>
        </w:rPr>
      </w:pPr>
      <w:r>
        <w:rPr>
          <w:rFonts w:hint="default" w:ascii="Times New Roman" w:hAnsi="Times New Roman" w:eastAsia="仿宋_GB2312" w:cs="Times New Roman"/>
          <w:b w:val="0"/>
          <w:bCs/>
          <w:kern w:val="2"/>
          <w:sz w:val="32"/>
          <w:szCs w:val="32"/>
          <w:lang w:val="en-US" w:eastAsia="zh-CN" w:bidi="ar-SA"/>
        </w:rPr>
        <w:t>收购方：</w:t>
      </w:r>
      <w:r>
        <w:rPr>
          <w:rFonts w:hint="eastAsia" w:ascii="Times New Roman" w:hAnsi="Times New Roman" w:cs="Times New Roman"/>
          <w:b w:val="0"/>
          <w:bCs/>
          <w:kern w:val="2"/>
          <w:sz w:val="32"/>
          <w:szCs w:val="32"/>
          <w:lang w:val="en-US" w:eastAsia="zh-CN" w:bidi="ar-SA"/>
        </w:rPr>
        <w:t>阿波罗亚洲房地产</w:t>
      </w:r>
      <w:r>
        <w:rPr>
          <w:rFonts w:hint="default" w:ascii="Times New Roman" w:hAnsi="Times New Roman" w:eastAsia="仿宋_GB2312" w:cs="Times New Roman"/>
          <w:b w:val="0"/>
          <w:bCs/>
          <w:kern w:val="2"/>
          <w:sz w:val="32"/>
          <w:szCs w:val="32"/>
          <w:lang w:val="en-US" w:eastAsia="zh-CN" w:bidi="ar-SA"/>
        </w:rPr>
        <w:t>。2015年于美国特拉华州注册成立，其交易前最终控制人是</w:t>
      </w:r>
      <w:r>
        <w:rPr>
          <w:rFonts w:hint="eastAsia" w:ascii="Times New Roman" w:hAnsi="Times New Roman" w:eastAsia="仿宋_GB2312" w:cs="Times New Roman"/>
          <w:color w:val="000000" w:themeColor="text1"/>
          <w:sz w:val="32"/>
          <w:lang w:eastAsia="zh-CN"/>
          <w14:textFill>
            <w14:solidFill>
              <w14:schemeClr w14:val="tx1"/>
            </w14:solidFill>
          </w14:textFill>
        </w:rPr>
        <w:t>（</w:t>
      </w:r>
      <w:r>
        <w:rPr>
          <w:rFonts w:hint="eastAsia" w:ascii="Times New Roman" w:hAnsi="Times New Roman" w:eastAsia="仿宋_GB2312" w:cs="Times New Roman"/>
          <w:color w:val="000000" w:themeColor="text1"/>
          <w:sz w:val="32"/>
          <w:lang w:val="en-US" w:eastAsia="zh-CN"/>
          <w14:textFill>
            <w14:solidFill>
              <w14:schemeClr w14:val="tx1"/>
            </w14:solidFill>
          </w14:textFill>
        </w:rPr>
        <w:t>略）</w:t>
      </w:r>
      <w:r>
        <w:rPr>
          <w:rFonts w:hint="default" w:ascii="Times New Roman" w:hAnsi="Times New Roman" w:eastAsia="仿宋_GB2312" w:cs="Times New Roman"/>
          <w:b w:val="0"/>
          <w:bCs/>
          <w:kern w:val="2"/>
          <w:sz w:val="32"/>
          <w:szCs w:val="32"/>
          <w:lang w:val="en-US" w:eastAsia="zh-CN" w:bidi="ar-SA"/>
        </w:rPr>
        <w:t>。阿波罗亚洲房地产主要提供投资管理服务。2017年，全球营业额为</w:t>
      </w:r>
      <w:r>
        <w:rPr>
          <w:rFonts w:hint="eastAsia" w:ascii="Times New Roman" w:hAnsi="Times New Roman" w:eastAsia="仿宋_GB2312" w:cs="Times New Roman"/>
          <w:color w:val="000000" w:themeColor="text1"/>
          <w:sz w:val="32"/>
          <w:lang w:eastAsia="zh-CN"/>
          <w14:textFill>
            <w14:solidFill>
              <w14:schemeClr w14:val="tx1"/>
            </w14:solidFill>
          </w14:textFill>
        </w:rPr>
        <w:t>（</w:t>
      </w:r>
      <w:r>
        <w:rPr>
          <w:rFonts w:hint="eastAsia" w:ascii="Times New Roman" w:hAnsi="Times New Roman" w:eastAsia="仿宋_GB2312" w:cs="Times New Roman"/>
          <w:color w:val="000000" w:themeColor="text1"/>
          <w:sz w:val="32"/>
          <w:lang w:val="en-US" w:eastAsia="zh-CN"/>
          <w14:textFill>
            <w14:solidFill>
              <w14:schemeClr w14:val="tx1"/>
            </w14:solidFill>
          </w14:textFill>
        </w:rPr>
        <w:t>略）</w:t>
      </w:r>
      <w:r>
        <w:rPr>
          <w:rFonts w:hint="default" w:ascii="Times New Roman" w:hAnsi="Times New Roman" w:eastAsia="仿宋_GB2312" w:cs="Times New Roman"/>
          <w:b w:val="0"/>
          <w:bCs/>
          <w:kern w:val="2"/>
          <w:sz w:val="32"/>
          <w:szCs w:val="32"/>
          <w:lang w:val="en-US" w:eastAsia="zh-CN" w:bidi="ar-SA"/>
        </w:rPr>
        <w:t>人民币（币种下同），中国境内营业额为</w:t>
      </w:r>
      <w:r>
        <w:rPr>
          <w:rFonts w:hint="eastAsia" w:ascii="Times New Roman" w:hAnsi="Times New Roman" w:eastAsia="仿宋_GB2312" w:cs="Times New Roman"/>
          <w:color w:val="000000" w:themeColor="text1"/>
          <w:sz w:val="32"/>
          <w:lang w:eastAsia="zh-CN"/>
          <w14:textFill>
            <w14:solidFill>
              <w14:schemeClr w14:val="tx1"/>
            </w14:solidFill>
          </w14:textFill>
        </w:rPr>
        <w:t>（</w:t>
      </w:r>
      <w:r>
        <w:rPr>
          <w:rFonts w:hint="eastAsia" w:ascii="Times New Roman" w:hAnsi="Times New Roman" w:eastAsia="仿宋_GB2312" w:cs="Times New Roman"/>
          <w:color w:val="000000" w:themeColor="text1"/>
          <w:sz w:val="32"/>
          <w:lang w:val="en-US" w:eastAsia="zh-CN"/>
          <w14:textFill>
            <w14:solidFill>
              <w14:schemeClr w14:val="tx1"/>
            </w14:solidFill>
          </w14:textFill>
        </w:rPr>
        <w:t>略）</w:t>
      </w:r>
      <w:r>
        <w:rPr>
          <w:rFonts w:hint="default" w:ascii="Times New Roman" w:hAnsi="Times New Roman" w:eastAsia="仿宋_GB2312" w:cs="Times New Roman"/>
          <w:b w:val="0"/>
          <w:bCs/>
          <w:kern w:val="2"/>
          <w:sz w:val="32"/>
          <w:szCs w:val="32"/>
          <w:lang w:val="en-US" w:eastAsia="zh-CN" w:bidi="ar-SA"/>
        </w:rPr>
        <w:t>。</w:t>
      </w:r>
    </w:p>
    <w:p>
      <w:pPr>
        <w:suppressAutoHyphens/>
        <w:overflowPunct w:val="0"/>
        <w:autoSpaceDE w:val="0"/>
        <w:autoSpaceDN w:val="0"/>
        <w:adjustRightInd w:val="0"/>
        <w:spacing w:line="594" w:lineRule="exact"/>
        <w:ind w:firstLine="628" w:firstLineChars="200"/>
        <w:rPr>
          <w:rFonts w:hint="eastAsia" w:ascii="Times New Roman" w:hAnsi="Times New Roman" w:eastAsia="仿宋_GB2312" w:cs="Times New Roman"/>
          <w:b w:val="0"/>
          <w:bCs/>
          <w:color w:val="000000"/>
          <w:sz w:val="32"/>
          <w:szCs w:val="32"/>
          <w:highlight w:val="none"/>
        </w:rPr>
      </w:pPr>
      <w:r>
        <w:rPr>
          <w:rFonts w:hint="default" w:ascii="Times New Roman" w:hAnsi="Times New Roman" w:eastAsia="仿宋_GB2312" w:cs="Times New Roman"/>
          <w:b w:val="0"/>
          <w:bCs/>
          <w:sz w:val="32"/>
        </w:rPr>
        <w:t>被收购方：</w:t>
      </w:r>
      <w:r>
        <w:rPr>
          <w:rFonts w:hint="eastAsia" w:eastAsia="仿宋_GB2312" w:cs="Times New Roman"/>
          <w:b w:val="0"/>
          <w:bCs/>
          <w:sz w:val="32"/>
          <w:lang w:eastAsia="zh-CN"/>
        </w:rPr>
        <w:t>唯迅</w:t>
      </w:r>
      <w:r>
        <w:rPr>
          <w:rFonts w:hint="default" w:ascii="Times New Roman" w:hAnsi="Times New Roman" w:eastAsia="仿宋_GB2312" w:cs="Times New Roman"/>
          <w:b w:val="0"/>
          <w:bCs/>
          <w:sz w:val="32"/>
        </w:rPr>
        <w:t>。2018年于英属维尔京群岛注册成立，交易前是金地商置集团有限公司（以下简称金地商置）全资控股子公司。唯迅主要从事苏州市工业用地开发和运营业务。</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Times New Roman" w:hAnsi="Times New Roman" w:eastAsia="仿宋_GB2312" w:cs="Times New Roman"/>
          <w:b w:val="0"/>
          <w:bCs/>
          <w:sz w:val="32"/>
          <w:szCs w:val="32"/>
          <w:highlight w:val="none"/>
        </w:rPr>
      </w:pPr>
      <w:r>
        <w:rPr>
          <w:rFonts w:hint="eastAsia" w:ascii="Times New Roman" w:hAnsi="Times New Roman" w:eastAsia="仿宋_GB2312" w:cs="Times New Roman"/>
          <w:b w:val="0"/>
          <w:bCs/>
          <w:sz w:val="32"/>
          <w:szCs w:val="32"/>
          <w:highlight w:val="none"/>
        </w:rPr>
        <w:t>参与集中的其他经营者</w:t>
      </w:r>
      <w:r>
        <w:rPr>
          <w:rFonts w:ascii="Times New Roman" w:hAnsi="Times New Roman" w:eastAsia="仿宋_GB2312" w:cs="Times New Roman"/>
          <w:b w:val="0"/>
          <w:bCs/>
          <w:sz w:val="32"/>
          <w:szCs w:val="32"/>
          <w:highlight w:val="none"/>
        </w:rPr>
        <w:t>：金地商置。</w:t>
      </w:r>
      <w:r>
        <w:rPr>
          <w:rFonts w:hint="eastAsia" w:ascii="Times New Roman" w:hAnsi="Times New Roman" w:eastAsia="仿宋_GB2312" w:cs="Times New Roman"/>
          <w:b w:val="0"/>
          <w:bCs/>
          <w:sz w:val="32"/>
          <w:szCs w:val="32"/>
          <w:highlight w:val="none"/>
        </w:rPr>
        <w:t>1989年于百慕大注册成立，主要从事各类房地产开发业务，最终控制人是金地（集团）股份有限公司。2017年</w:t>
      </w:r>
      <w:r>
        <w:rPr>
          <w:rFonts w:hint="eastAsia" w:eastAsia="仿宋_GB2312" w:cs="Times New Roman"/>
          <w:b w:val="0"/>
          <w:bCs/>
          <w:sz w:val="32"/>
          <w:szCs w:val="32"/>
          <w:highlight w:val="none"/>
          <w:lang w:eastAsia="zh-CN"/>
        </w:rPr>
        <w:t>，</w:t>
      </w:r>
      <w:r>
        <w:rPr>
          <w:rFonts w:hint="eastAsia" w:ascii="Times New Roman" w:hAnsi="Times New Roman" w:eastAsia="仿宋_GB2312" w:cs="Times New Roman"/>
          <w:b w:val="0"/>
          <w:bCs/>
          <w:sz w:val="32"/>
          <w:szCs w:val="32"/>
          <w:highlight w:val="none"/>
        </w:rPr>
        <w:t>金地商置全球和中国营业额均为</w:t>
      </w:r>
      <w:r>
        <w:rPr>
          <w:rFonts w:hint="eastAsia" w:ascii="Times New Roman" w:hAnsi="Times New Roman" w:eastAsia="仿宋_GB2312" w:cs="Times New Roman"/>
          <w:color w:val="000000" w:themeColor="text1"/>
          <w:sz w:val="32"/>
          <w:lang w:eastAsia="zh-CN"/>
          <w14:textFill>
            <w14:solidFill>
              <w14:schemeClr w14:val="tx1"/>
            </w14:solidFill>
          </w14:textFill>
        </w:rPr>
        <w:t>（</w:t>
      </w:r>
      <w:r>
        <w:rPr>
          <w:rFonts w:hint="eastAsia" w:ascii="Times New Roman" w:hAnsi="Times New Roman" w:eastAsia="仿宋_GB2312" w:cs="Times New Roman"/>
          <w:color w:val="000000" w:themeColor="text1"/>
          <w:sz w:val="32"/>
          <w:lang w:val="en-US" w:eastAsia="zh-CN"/>
          <w14:textFill>
            <w14:solidFill>
              <w14:schemeClr w14:val="tx1"/>
            </w14:solidFill>
          </w14:textFill>
        </w:rPr>
        <w:t>略）</w:t>
      </w:r>
      <w:r>
        <w:rPr>
          <w:rFonts w:hint="eastAsia" w:ascii="Times New Roman" w:hAnsi="Times New Roman" w:eastAsia="仿宋_GB2312" w:cs="Times New Roman"/>
          <w:b w:val="0"/>
          <w:bCs/>
          <w:sz w:val="32"/>
          <w:szCs w:val="32"/>
          <w:highlight w:val="none"/>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（二）交易概况。</w:t>
      </w:r>
    </w:p>
    <w:p>
      <w:pPr>
        <w:pStyle w:val="9"/>
        <w:keepNext w:val="0"/>
        <w:keepLines w:val="0"/>
        <w:pageBreakBefore w:val="0"/>
        <w:widowControl w:val="0"/>
        <w:kinsoku/>
        <w:wordWrap/>
        <w:topLinePunct w:val="0"/>
        <w:bidi w:val="0"/>
        <w:spacing w:line="594" w:lineRule="exact"/>
        <w:ind w:firstLine="640"/>
        <w:textAlignment w:val="auto"/>
        <w:rPr>
          <w:rFonts w:hint="default" w:ascii="Times New Roman" w:hAnsi="Times New Roman" w:eastAsia="仿宋_GB2312" w:cs="Times New Roman"/>
          <w:b w:val="0"/>
          <w:bCs w:val="0"/>
          <w:kern w:val="2"/>
          <w:sz w:val="32"/>
          <w:szCs w:val="32"/>
          <w:lang w:val="en-US" w:eastAsia="zh-CN" w:bidi="ar-SA"/>
        </w:rPr>
      </w:pPr>
      <w:r>
        <w:rPr>
          <w:rFonts w:hint="default" w:ascii="Times New Roman" w:hAnsi="Times New Roman" w:eastAsia="仿宋_GB2312" w:cs="Times New Roman"/>
          <w:bCs/>
          <w:kern w:val="2"/>
          <w:sz w:val="32"/>
          <w:szCs w:val="32"/>
          <w:lang w:val="en-US" w:eastAsia="zh-CN" w:bidi="ar-SA"/>
        </w:rPr>
        <w:t>本交易系</w:t>
      </w:r>
      <w:r>
        <w:rPr>
          <w:rFonts w:hint="eastAsia" w:ascii="Times New Roman" w:hAnsi="Times New Roman" w:cs="Times New Roman"/>
          <w:bCs/>
          <w:kern w:val="2"/>
          <w:sz w:val="32"/>
          <w:szCs w:val="32"/>
          <w:lang w:val="en-US" w:eastAsia="zh-CN" w:bidi="ar-SA"/>
        </w:rPr>
        <w:t>股权收购</w:t>
      </w:r>
      <w:r>
        <w:rPr>
          <w:rFonts w:hint="default" w:ascii="Times New Roman" w:hAnsi="Times New Roman" w:eastAsia="仿宋_GB2312" w:cs="Times New Roman"/>
          <w:bCs/>
          <w:kern w:val="2"/>
          <w:sz w:val="32"/>
          <w:szCs w:val="32"/>
          <w:lang w:val="en-US" w:eastAsia="zh-CN" w:bidi="ar-SA"/>
        </w:rPr>
        <w:t>。</w:t>
      </w:r>
      <w:r>
        <w:rPr>
          <w:rFonts w:hint="default" w:ascii="Times New Roman" w:hAnsi="Times New Roman" w:eastAsia="仿宋_GB2312" w:cs="Times New Roman"/>
          <w:b w:val="0"/>
          <w:bCs w:val="0"/>
          <w:kern w:val="2"/>
          <w:sz w:val="32"/>
          <w:szCs w:val="32"/>
          <w:lang w:val="en-US" w:eastAsia="zh-CN" w:bidi="ar-SA"/>
        </w:rPr>
        <w:t>2018年9月27日，阿波罗亚洲房地产向唯迅申请发行并取得了唯迅1股普通股。交易后，阿波罗亚洲房地产与金地商置分别持有唯迅50%的股权，双方共同控制唯迅。2018年9月27日完成股权变更登记。</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（一）本案构成未依法申报违法实施的经营者集中。</w:t>
      </w:r>
    </w:p>
    <w:p>
      <w:pPr>
        <w:keepNext w:val="0"/>
        <w:keepLines w:val="0"/>
        <w:pageBreakBefore w:val="0"/>
        <w:widowControl w:val="0"/>
        <w:kinsoku/>
        <w:wordWrap/>
        <w:topLinePunct w:val="0"/>
        <w:bidi w:val="0"/>
        <w:spacing w:line="594" w:lineRule="exact"/>
        <w:ind w:firstLine="628" w:firstLineChars="200"/>
        <w:jc w:val="both"/>
        <w:textAlignment w:val="auto"/>
        <w:rPr>
          <w:rFonts w:hint="default" w:ascii="Times New Roman" w:hAnsi="Times New Roman" w:eastAsia="仿宋_GB2312" w:cs="Times New Roman"/>
          <w:bCs/>
          <w:sz w:val="32"/>
          <w:szCs w:val="36"/>
          <w:lang w:eastAsia="zh-CN"/>
        </w:rPr>
      </w:pPr>
      <w:r>
        <w:rPr>
          <w:rFonts w:hint="default" w:ascii="Times New Roman" w:hAnsi="Times New Roman" w:eastAsia="仿宋_GB2312" w:cs="Times New Roman"/>
          <w:bCs/>
          <w:sz w:val="32"/>
          <w:szCs w:val="32"/>
        </w:rPr>
        <w:t>《反垄断法》第二十条规定“经营者集中是指下列情形：（一）经营者合并；（二）经营者通过取得股权或者资产的方式取得对其他经营者的控制权；（三）经营者通过合同等方式取得</w:t>
      </w:r>
      <w:r>
        <w:rPr>
          <w:rFonts w:hint="default" w:ascii="Times New Roman" w:hAnsi="Times New Roman" w:eastAsia="仿宋_GB2312" w:cs="Times New Roman"/>
          <w:bCs/>
          <w:sz w:val="32"/>
          <w:szCs w:val="32"/>
          <w:lang w:val="en-US" w:eastAsia="zh-CN"/>
        </w:rPr>
        <w:t>对其他经营者的控制权或者能够对其他经营者施加决定性影响”。2018年9月27日，阿波罗亚洲房地产取得唯迅50%的股权，取得共同控制权，属于《反垄断法》第二十条规定的经营者集中。</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left="0" w:firstLine="628" w:firstLineChars="200"/>
        <w:jc w:val="both"/>
        <w:textAlignment w:val="auto"/>
        <w:rPr>
          <w:rFonts w:hint="default" w:ascii="Times New Roman" w:hAnsi="Times New Roman" w:eastAsia="仿宋_GB2312" w:cs="Times New Roman"/>
          <w:bCs/>
          <w:kern w:val="2"/>
          <w:sz w:val="32"/>
          <w:szCs w:val="32"/>
          <w:u w:val="none"/>
          <w:lang w:val="en-US" w:eastAsia="zh-CN" w:bidi="ar-SA"/>
        </w:rPr>
      </w:pPr>
      <w:r>
        <w:rPr>
          <w:rFonts w:hint="default" w:ascii="Times New Roman" w:hAnsi="Times New Roman" w:eastAsia="仿宋_GB2312" w:cs="Times New Roman"/>
          <w:bCs/>
          <w:kern w:val="2"/>
          <w:sz w:val="32"/>
          <w:szCs w:val="32"/>
          <w:u w:val="none"/>
          <w:lang w:val="en-US" w:eastAsia="zh-CN" w:bidi="ar-SA"/>
        </w:rPr>
        <w:t>2017年度，阿波罗亚洲房地产全球营业额为</w:t>
      </w:r>
      <w:r>
        <w:rPr>
          <w:rFonts w:hint="eastAsia" w:ascii="Times New Roman" w:hAnsi="Times New Roman" w:eastAsia="仿宋_GB2312" w:cs="Times New Roman"/>
          <w:color w:val="000000" w:themeColor="text1"/>
          <w:sz w:val="32"/>
          <w:lang w:eastAsia="zh-CN"/>
          <w14:textFill>
            <w14:solidFill>
              <w14:schemeClr w14:val="tx1"/>
            </w14:solidFill>
          </w14:textFill>
        </w:rPr>
        <w:t>（</w:t>
      </w:r>
      <w:r>
        <w:rPr>
          <w:rFonts w:hint="eastAsia" w:ascii="Times New Roman" w:hAnsi="Times New Roman" w:eastAsia="仿宋_GB2312" w:cs="Times New Roman"/>
          <w:color w:val="000000" w:themeColor="text1"/>
          <w:sz w:val="32"/>
          <w:lang w:val="en-US" w:eastAsia="zh-CN"/>
          <w14:textFill>
            <w14:solidFill>
              <w14:schemeClr w14:val="tx1"/>
            </w14:solidFill>
          </w14:textFill>
        </w:rPr>
        <w:t>略）</w:t>
      </w:r>
      <w:r>
        <w:rPr>
          <w:rFonts w:hint="default" w:ascii="Times New Roman" w:hAnsi="Times New Roman" w:eastAsia="仿宋_GB2312" w:cs="Times New Roman"/>
          <w:bCs/>
          <w:kern w:val="2"/>
          <w:sz w:val="32"/>
          <w:szCs w:val="32"/>
          <w:u w:val="none"/>
          <w:lang w:val="en-US" w:eastAsia="zh-CN" w:bidi="ar-SA"/>
        </w:rPr>
        <w:t>，中国境内营业额为</w:t>
      </w:r>
      <w:r>
        <w:rPr>
          <w:rFonts w:hint="eastAsia" w:ascii="Times New Roman" w:hAnsi="Times New Roman" w:eastAsia="仿宋_GB2312" w:cs="Times New Roman"/>
          <w:color w:val="000000" w:themeColor="text1"/>
          <w:sz w:val="32"/>
          <w:lang w:eastAsia="zh-CN"/>
          <w14:textFill>
            <w14:solidFill>
              <w14:schemeClr w14:val="tx1"/>
            </w14:solidFill>
          </w14:textFill>
        </w:rPr>
        <w:t>（</w:t>
      </w:r>
      <w:r>
        <w:rPr>
          <w:rFonts w:hint="eastAsia" w:ascii="Times New Roman" w:hAnsi="Times New Roman" w:eastAsia="仿宋_GB2312" w:cs="Times New Roman"/>
          <w:color w:val="000000" w:themeColor="text1"/>
          <w:sz w:val="32"/>
          <w:lang w:val="en-US" w:eastAsia="zh-CN"/>
          <w14:textFill>
            <w14:solidFill>
              <w14:schemeClr w14:val="tx1"/>
            </w14:solidFill>
          </w14:textFill>
        </w:rPr>
        <w:t>略）</w:t>
      </w:r>
      <w:r>
        <w:rPr>
          <w:rFonts w:hint="default" w:ascii="Times New Roman" w:hAnsi="Times New Roman" w:eastAsia="仿宋_GB2312" w:cs="Times New Roman"/>
          <w:bCs/>
          <w:kern w:val="2"/>
          <w:sz w:val="32"/>
          <w:szCs w:val="32"/>
          <w:u w:val="none"/>
          <w:lang w:val="en-US" w:eastAsia="zh-CN" w:bidi="ar-SA"/>
        </w:rPr>
        <w:t>；金地商置全球和中国境内营业额均为</w:t>
      </w:r>
      <w:r>
        <w:rPr>
          <w:rFonts w:hint="eastAsia" w:ascii="Times New Roman" w:hAnsi="Times New Roman" w:eastAsia="仿宋_GB2312" w:cs="Times New Roman"/>
          <w:color w:val="000000" w:themeColor="text1"/>
          <w:sz w:val="32"/>
          <w:lang w:eastAsia="zh-CN"/>
          <w14:textFill>
            <w14:solidFill>
              <w14:schemeClr w14:val="tx1"/>
            </w14:solidFill>
          </w14:textFill>
        </w:rPr>
        <w:t>（</w:t>
      </w:r>
      <w:r>
        <w:rPr>
          <w:rFonts w:hint="eastAsia" w:ascii="Times New Roman" w:hAnsi="Times New Roman" w:eastAsia="仿宋_GB2312" w:cs="Times New Roman"/>
          <w:color w:val="000000" w:themeColor="text1"/>
          <w:sz w:val="32"/>
          <w:lang w:val="en-US" w:eastAsia="zh-CN"/>
          <w14:textFill>
            <w14:solidFill>
              <w14:schemeClr w14:val="tx1"/>
            </w14:solidFill>
          </w14:textFill>
        </w:rPr>
        <w:t>略）</w:t>
      </w:r>
      <w:r>
        <w:rPr>
          <w:rFonts w:hint="default" w:ascii="Times New Roman" w:hAnsi="Times New Roman" w:eastAsia="仿宋_GB2312" w:cs="Times New Roman"/>
          <w:bCs/>
          <w:kern w:val="2"/>
          <w:sz w:val="32"/>
          <w:szCs w:val="32"/>
          <w:u w:val="none"/>
          <w:lang w:val="en-US" w:eastAsia="zh-CN" w:bidi="ar-SA"/>
        </w:rPr>
        <w:t>，达到《国务院关于经营者集中申报标准的规定》第三条规定的申报标准，属于应当申报的情形。</w:t>
      </w:r>
    </w:p>
    <w:p>
      <w:pPr>
        <w:keepNext w:val="0"/>
        <w:keepLines w:val="0"/>
        <w:pageBreakBefore w:val="0"/>
        <w:widowControl w:val="0"/>
        <w:suppressAutoHyphens/>
        <w:kinsoku/>
        <w:wordWrap/>
        <w:overflowPunct w:val="0"/>
        <w:topLinePunct w:val="0"/>
        <w:autoSpaceDE w:val="0"/>
        <w:autoSpaceDN w:val="0"/>
        <w:bidi w:val="0"/>
        <w:adjustRightInd w:val="0"/>
        <w:snapToGrid/>
        <w:spacing w:before="0" w:beforeAutospacing="0" w:after="0" w:afterAutospacing="0" w:line="594" w:lineRule="exact"/>
        <w:ind w:firstLine="628" w:firstLineChars="200"/>
        <w:jc w:val="both"/>
        <w:textAlignment w:val="auto"/>
        <w:outlineLvl w:val="9"/>
        <w:rPr>
          <w:rFonts w:hint="default" w:ascii="Times New Roman" w:hAnsi="Times New Roman" w:eastAsia="仿宋_GB2312" w:cs="Times New Roman"/>
          <w:kern w:val="0"/>
          <w:sz w:val="32"/>
          <w:szCs w:val="32"/>
          <w:lang w:val="en-US" w:eastAsia="zh-CN" w:bidi="ar-SA"/>
        </w:rPr>
      </w:pPr>
      <w:r>
        <w:rPr>
          <w:rFonts w:hint="default" w:ascii="Times New Roman" w:hAnsi="Times New Roman" w:eastAsia="仿宋_GB2312" w:cs="Times New Roman"/>
          <w:kern w:val="0"/>
          <w:sz w:val="32"/>
          <w:szCs w:val="32"/>
          <w:lang w:val="en-US" w:eastAsia="zh-CN" w:bidi="ar-SA"/>
        </w:rPr>
        <w:t>《反垄断法》第二十一条规定“经营者集中达到国</w:t>
      </w:r>
      <w:r>
        <w:rPr>
          <w:rFonts w:hint="default" w:ascii="Times New Roman" w:hAnsi="Times New Roman" w:eastAsia="仿宋_GB2312" w:cs="Times New Roman"/>
          <w:bCs/>
          <w:kern w:val="2"/>
          <w:sz w:val="32"/>
          <w:szCs w:val="32"/>
          <w:u w:val="none"/>
          <w:lang w:val="en-US" w:eastAsia="zh-CN" w:bidi="ar-SA"/>
        </w:rPr>
        <w:t>务院规定的申报标准的，经营者应当事先向国务院反垄断执法机构申报，未申报的不得实施集中”。2018年9月27日，本交易完成股权变更登记，在此之前未依法申报，违反《反垄断法》第二十一条，构成未依法申报违法实施的经营者集中。</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（二）本案不具有排除、限制竞争的效果。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本机关就阿波罗亚洲房地产收购唯迅股权对市场竞争的影响进行了评估，评估认为，该项经营者集中不会产生排除、限制竞争的效果。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三、行政处罚依据和决定</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w:t>
      </w:r>
      <w:r>
        <w:rPr>
          <w:rFonts w:hint="default" w:ascii="Times New Roman" w:hAnsi="Times New Roman" w:eastAsia="仿宋_GB2312" w:cs="Times New Roman"/>
          <w:bCs/>
          <w:color w:val="000000"/>
          <w:kern w:val="2"/>
          <w:sz w:val="32"/>
          <w:szCs w:val="32"/>
          <w:lang w:eastAsia="zh-CN"/>
        </w:rPr>
        <w:t>情况和评估结论，本机关</w:t>
      </w:r>
      <w:r>
        <w:rPr>
          <w:rFonts w:hint="eastAsia" w:eastAsia="仿宋_GB2312" w:cs="Times New Roman"/>
          <w:bCs/>
          <w:color w:val="000000"/>
          <w:kern w:val="2"/>
          <w:sz w:val="32"/>
          <w:szCs w:val="32"/>
          <w:lang w:eastAsia="zh-CN"/>
        </w:rPr>
        <w:t>决定</w:t>
      </w:r>
      <w:r>
        <w:rPr>
          <w:rFonts w:hint="default" w:ascii="Times New Roman" w:hAnsi="Times New Roman" w:eastAsia="仿宋_GB2312" w:cs="Times New Roman"/>
          <w:bCs/>
          <w:color w:val="000000"/>
          <w:kern w:val="2"/>
          <w:sz w:val="32"/>
          <w:szCs w:val="32"/>
          <w:lang w:eastAsia="zh-CN"/>
        </w:rPr>
        <w:t>给予阿波罗亚洲房地产40万元罚款的行政处罚。</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lang w:eastAsia="zh-CN"/>
        </w:rPr>
        <w:t>《行政处罚法》第六十七条规定“作出罚款决定的行政机关应当与收缴罚款的机构分离。除依照本法第六十八条、第六十九条的规定当场收缴的罚款外，作出行政处罚决定的行政机关及其执法人员不得自行收缴罚款。当事人应当自收到行政处罚决定书之日起十五日内，到指定的银行或者通过电子支付系统缴纳罚款。银行应当收受罚款，并将罚款直接上缴国库”。　</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000000"/>
          <w:kern w:val="2"/>
          <w:sz w:val="32"/>
          <w:szCs w:val="32"/>
          <w:highlight w:val="yellow"/>
          <w:lang w:eastAsia="zh-CN"/>
        </w:rPr>
      </w:pPr>
      <w:r>
        <w:rPr>
          <w:rFonts w:hint="default" w:ascii="Times New Roman" w:hAnsi="Times New Roman" w:eastAsia="仿宋_GB2312" w:cs="Times New Roman"/>
          <w:bCs/>
          <w:color w:val="000000"/>
          <w:kern w:val="2"/>
          <w:sz w:val="32"/>
          <w:szCs w:val="32"/>
          <w:lang w:eastAsia="zh-CN"/>
        </w:rPr>
        <w:t>当事人应当自收到本行政处罚决定书之日起十五日内，携缴款码到</w:t>
      </w:r>
      <w:r>
        <w:rPr>
          <w:rFonts w:hint="default" w:ascii="Times New Roman" w:hAnsi="Times New Roman" w:eastAsia="仿宋_GB2312" w:cs="Times New Roman"/>
          <w:bCs/>
          <w:color w:val="000000"/>
          <w:kern w:val="2"/>
          <w:sz w:val="32"/>
          <w:szCs w:val="32"/>
          <w:lang w:val="en-US" w:eastAsia="zh-CN"/>
        </w:rPr>
        <w:t>15家中央财政非税收入收缴代理银行（工、农、中、建、交、中信、光大、招商、邮储、华夏、平安、兴业、民生、广发、浙商）任一银行网点、网上银行缴纳罚款。</w:t>
      </w:r>
      <w:r>
        <w:rPr>
          <w:rFonts w:hint="default" w:ascii="Times New Roman" w:hAnsi="Times New Roman" w:eastAsia="仿宋_GB2312" w:cs="Times New Roman"/>
          <w:bCs/>
          <w:color w:val="000000"/>
          <w:kern w:val="2"/>
          <w:sz w:val="32"/>
          <w:szCs w:val="32"/>
          <w:lang w:eastAsia="zh-CN"/>
        </w:rPr>
        <w:t>缴款码：</w:t>
      </w:r>
      <w:r>
        <w:rPr>
          <w:rFonts w:hint="eastAsia" w:eastAsia="仿宋_GB2312" w:cs="Times New Roman"/>
          <w:bCs/>
          <w:color w:val="000000"/>
          <w:kern w:val="2"/>
          <w:sz w:val="32"/>
          <w:szCs w:val="32"/>
          <w:lang w:val="en-US" w:eastAsia="zh-CN"/>
        </w:rPr>
        <w:t>0000002200221190。到期不缴纳罚款的，依据《行政处罚法》第七十二条的规定，本机关将每日按罚款数额的百分之三加处罚款,并依法申请人民法院强制执行。</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lang w:eastAsia="zh-CN"/>
        </w:rPr>
        <w:t xml:space="preserve">当事人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94" w:lineRule="exact"/>
        <w:ind w:firstLine="5433" w:firstLineChars="173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市场监管总局</w:t>
      </w:r>
    </w:p>
    <w:p>
      <w:pPr>
        <w:keepNext w:val="0"/>
        <w:keepLines w:val="0"/>
        <w:pageBreakBefore w:val="0"/>
        <w:widowControl w:val="0"/>
        <w:kinsoku/>
        <w:wordWrap/>
        <w:topLinePunct w:val="0"/>
        <w:bidi w:val="0"/>
        <w:snapToGrid w:val="0"/>
        <w:spacing w:line="594" w:lineRule="exact"/>
        <w:ind w:firstLine="5225" w:firstLineChars="1664"/>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202</w:t>
      </w:r>
      <w:r>
        <w:rPr>
          <w:rFonts w:hint="eastAsia" w:eastAsia="仿宋_GB2312" w:cs="Times New Roman"/>
          <w:kern w:val="2"/>
          <w:sz w:val="32"/>
          <w:szCs w:val="32"/>
          <w:lang w:val="en-US" w:eastAsia="zh-CN"/>
        </w:rPr>
        <w:t>2</w:t>
      </w:r>
      <w:r>
        <w:rPr>
          <w:rFonts w:hint="default" w:ascii="Times New Roman" w:hAnsi="Times New Roman" w:eastAsia="仿宋_GB2312" w:cs="Times New Roman"/>
          <w:kern w:val="2"/>
          <w:sz w:val="32"/>
          <w:szCs w:val="32"/>
        </w:rPr>
        <w:t>年</w:t>
      </w:r>
      <w:r>
        <w:rPr>
          <w:rFonts w:hint="eastAsia" w:eastAsia="仿宋_GB2312" w:cs="Times New Roman"/>
          <w:kern w:val="2"/>
          <w:sz w:val="32"/>
          <w:szCs w:val="32"/>
          <w:lang w:val="en-US" w:eastAsia="zh-CN"/>
        </w:rPr>
        <w:t>3</w:t>
      </w:r>
      <w:r>
        <w:rPr>
          <w:rFonts w:hint="default" w:ascii="Times New Roman" w:hAnsi="Times New Roman" w:eastAsia="仿宋_GB2312" w:cs="Times New Roman"/>
          <w:kern w:val="2"/>
          <w:sz w:val="32"/>
          <w:szCs w:val="32"/>
        </w:rPr>
        <w:t>月</w:t>
      </w:r>
      <w:r>
        <w:rPr>
          <w:rFonts w:hint="eastAsia" w:eastAsia="仿宋_GB2312" w:cs="Times New Roman"/>
          <w:kern w:val="2"/>
          <w:sz w:val="32"/>
          <w:szCs w:val="32"/>
          <w:lang w:val="en-US" w:eastAsia="zh-CN"/>
        </w:rPr>
        <w:t>28</w:t>
      </w:r>
      <w:r>
        <w:rPr>
          <w:rFonts w:hint="default" w:ascii="Times New Roman" w:hAnsi="Times New Roman" w:eastAsia="仿宋_GB2312" w:cs="Times New Roman"/>
          <w:kern w:val="2"/>
          <w:sz w:val="32"/>
          <w:szCs w:val="32"/>
        </w:rPr>
        <w:t>日</w:t>
      </w:r>
    </w:p>
    <w:p>
      <w:pPr>
        <w:keepNext w:val="0"/>
        <w:keepLines w:val="0"/>
        <w:pageBreakBefore w:val="0"/>
        <w:widowControl w:val="0"/>
        <w:kinsoku/>
        <w:wordWrap/>
        <w:topLinePunct w:val="0"/>
        <w:bidi w:val="0"/>
        <w:spacing w:line="594" w:lineRule="exact"/>
        <w:ind w:firstLine="628" w:firstLineChars="200"/>
        <w:textAlignment w:val="auto"/>
        <w:rPr>
          <w:rFonts w:hint="default" w:ascii="Times New Roman" w:hAnsi="Times New Roman" w:cs="Times New Roman"/>
        </w:rPr>
      </w:pPr>
      <w:r>
        <w:rPr>
          <w:rFonts w:hint="default" w:ascii="Times New Roman" w:hAnsi="Times New Roman" w:eastAsia="仿宋_GB2312" w:cs="Times New Roman"/>
          <w:kern w:val="2"/>
          <w:sz w:val="32"/>
          <w:szCs w:val="32"/>
        </w:rPr>
        <w:t>（此件公开发布）</w:t>
      </w:r>
    </w:p>
    <w:p>
      <w:pPr>
        <w:keepNext w:val="0"/>
        <w:keepLines w:val="0"/>
        <w:pageBreakBefore w:val="0"/>
        <w:widowControl w:val="0"/>
        <w:kinsoku/>
        <w:wordWrap/>
        <w:topLinePunct w:val="0"/>
        <w:bidi w:val="0"/>
        <w:spacing w:line="594" w:lineRule="exact"/>
        <w:textAlignment w:val="auto"/>
        <w:rPr>
          <w:rFonts w:hint="default" w:ascii="Times New Roman" w:hAnsi="Times New Roman" w:cs="Times New Roman"/>
        </w:rPr>
      </w:pPr>
    </w:p>
    <w:sectPr>
      <w:footerReference r:id="rId3" w:type="default"/>
      <w:footerReference r:id="rId4" w:type="even"/>
      <w:pgSz w:w="11906" w:h="16838"/>
      <w:pgMar w:top="18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楷体">
    <w:panose1 w:val="02010609060101010101"/>
    <w:charset w:val="86"/>
    <w:family w:val="auto"/>
    <w:pitch w:val="default"/>
    <w:sig w:usb0="800002BF" w:usb1="38CF7CFA"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8"/>
        <w:rFonts w:hint="eastAsia" w:ascii="宋体" w:hAnsi="宋体"/>
        <w:sz w:val="28"/>
        <w:szCs w:val="28"/>
      </w:rPr>
    </w:pPr>
    <w:r>
      <w:rPr>
        <w:rStyle w:val="8"/>
        <w:rFonts w:hint="eastAsia" w:ascii="宋体" w:hAnsi="宋体"/>
        <w:sz w:val="28"/>
        <w:szCs w:val="28"/>
      </w:rPr>
      <w:t xml:space="preserve">— </w:t>
    </w:r>
    <w:r>
      <w:rPr>
        <w:rStyle w:val="8"/>
        <w:rFonts w:ascii="宋体" w:hAnsi="宋体"/>
        <w:sz w:val="28"/>
        <w:szCs w:val="28"/>
      </w:rPr>
      <w:fldChar w:fldCharType="begin"/>
    </w:r>
    <w:r>
      <w:rPr>
        <w:rStyle w:val="8"/>
        <w:rFonts w:ascii="宋体" w:hAnsi="宋体"/>
        <w:sz w:val="28"/>
        <w:szCs w:val="28"/>
      </w:rPr>
      <w:instrText xml:space="preserve">PAGE  </w:instrText>
    </w:r>
    <w:r>
      <w:rPr>
        <w:rStyle w:val="8"/>
        <w:rFonts w:ascii="宋体" w:hAnsi="宋体"/>
        <w:sz w:val="28"/>
        <w:szCs w:val="28"/>
      </w:rPr>
      <w:fldChar w:fldCharType="separate"/>
    </w:r>
    <w:r>
      <w:rPr>
        <w:rStyle w:val="8"/>
        <w:rFonts w:ascii="宋体" w:hAnsi="宋体"/>
        <w:sz w:val="28"/>
        <w:szCs w:val="28"/>
      </w:rPr>
      <w:t>1</w:t>
    </w:r>
    <w:r>
      <w:rPr>
        <w:rStyle w:val="8"/>
        <w:rFonts w:ascii="宋体" w:hAnsi="宋体"/>
        <w:sz w:val="28"/>
        <w:szCs w:val="28"/>
      </w:rPr>
      <w:fldChar w:fldCharType="end"/>
    </w:r>
    <w:r>
      <w:rPr>
        <w:rStyle w:val="8"/>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8"/>
      </w:rPr>
    </w:pPr>
    <w:r>
      <w:rPr>
        <w:rStyle w:val="8"/>
      </w:rPr>
      <w:fldChar w:fldCharType="begin"/>
    </w:r>
    <w:r>
      <w:rPr>
        <w:rStyle w:val="8"/>
      </w:rPr>
      <w:instrText xml:space="preserve">PAGE  </w:instrText>
    </w:r>
    <w:r>
      <w:rPr>
        <w:rStyle w:val="8"/>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true"/>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66991"/>
    <w:rsid w:val="238405CE"/>
    <w:rsid w:val="251F784E"/>
    <w:rsid w:val="27721479"/>
    <w:rsid w:val="331B0238"/>
    <w:rsid w:val="3D973AFE"/>
    <w:rsid w:val="46FFD147"/>
    <w:rsid w:val="477829E6"/>
    <w:rsid w:val="49337785"/>
    <w:rsid w:val="50F656A6"/>
    <w:rsid w:val="52820D71"/>
    <w:rsid w:val="552762F9"/>
    <w:rsid w:val="55EA05CE"/>
    <w:rsid w:val="611E177A"/>
    <w:rsid w:val="6EC37903"/>
    <w:rsid w:val="76015E5A"/>
    <w:rsid w:val="7C3B02FB"/>
    <w:rsid w:val="7F3A7651"/>
    <w:rsid w:val="CEFF4B21"/>
    <w:rsid w:val="D4DE0E49"/>
    <w:rsid w:val="DF924AFA"/>
    <w:rsid w:val="DFFFD625"/>
    <w:rsid w:val="FDFDCFFC"/>
    <w:rsid w:val="FDFF2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spacing w:line="360" w:lineRule="exact"/>
      <w:ind w:firstLine="420" w:firstLineChars="200"/>
    </w:pPr>
    <w:rPr>
      <w:szCs w:val="20"/>
    </w:rPr>
  </w:style>
  <w:style w:type="paragraph" w:styleId="3">
    <w:name w:val="Body Text"/>
    <w:basedOn w:val="1"/>
    <w:unhideWhenUsed/>
    <w:qFormat/>
    <w:uiPriority w:val="0"/>
    <w:pPr>
      <w:spacing w:after="120"/>
    </w:pPr>
    <w:rPr>
      <w:rFonts w:ascii="Calibri" w:hAnsi="Calibri" w:eastAsia="宋体" w:cs="Times New Roman"/>
      <w:szCs w:val="22"/>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page number"/>
    <w:basedOn w:val="7"/>
    <w:qFormat/>
    <w:uiPriority w:val="0"/>
  </w:style>
  <w:style w:type="paragraph" w:customStyle="1" w:styleId="9">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2014-10-30T20:08:00Z</dcterms:created>
  <dc:creator>xielin</dc:creator>
  <cp:lastModifiedBy>oa</cp:lastModifiedBy>
  <cp:lastPrinted>2022-03-25T06:47:00Z</cp:lastPrinted>
  <dcterms:modified xsi:type="dcterms:W3CDTF">2022-03-29T17:49:36Z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