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E9D4"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Đặc tính điện áp của pin dạng đồng xu lithium-ion CR2032 cũng rất lý tưởng.Điện áp đầu ra vẫn tương đối bằng phẳng trong suốt thời gian xả,cho đến khi pin gần cạn kiệt.Khi đó, lượng điện áp giảm tương đối nhanh.</w:t>
      </w:r>
    </w:p>
    <w:p w14:paraId="3C636FD7"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Đặc tính nhiệt độ của pin lithium-ion cũng vượt trội so với pin kiềm (alkaline batteries),đặc biệt ở nhiệt độ thấp hơn. Điều này là do pin lithium-ion có chất điện phân không chứa nước hoạt động tốt hơn chất điện phân nước thường thấy trong pin kiềm.</w:t>
      </w:r>
    </w:p>
    <w:p w14:paraId="4DC64E77"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 xml:space="preserve">Tuy nhiên, pin đồng xu CR2032 vẫn bị hạn chế phạm vi hoạt động về nhiệt độ,tất cả các mạch tích hợp kết hợp với các thành phần điện khác được chỉ định để hoạt động ở phạm vi rộng hơn phạm vi nhiệt độ hơn so với pin. Do đó, phạm vi nhiệt độ hoạt động được chỉ định của hệ thống là –30°C đến 60°C. </w:t>
      </w:r>
    </w:p>
    <w:p w14:paraId="4BBD1062"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 xml:space="preserve">Ngay sau pin là một diode Schottky có điện áp ghim thuận thấp, một điện trở giới hạn dòng điện và một tụ số lượng lớn. </w:t>
      </w:r>
    </w:p>
    <w:p w14:paraId="2F2A61AF"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Đi-ốt Schottky ngăn hư hỏng phần cứng nếu lắp pin dạng đồng xu bị lắp ngược.</w:t>
      </w:r>
    </w:p>
    <w:p w14:paraId="07F24780"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Điện trở để giới hạn dòng điện, kết hợp với số lượng lớn tụ điện giúp giảm dòng điện tăng đột biến từ pin khi hệ thống chuyển từ trạng thái tắt sang trạng thái bật.</w:t>
      </w:r>
    </w:p>
    <w:p w14:paraId="74ADB391"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Các tụ điện được ghép nối số lượng lớn cũng để ngăn điện áp rơi quá nhiều qua điện trở giới hạn dòng điện trong quá trình khởi động.</w:t>
      </w:r>
    </w:p>
    <w:p w14:paraId="1419F5E6" w14:textId="03A055B2" w:rsidR="00001E6E" w:rsidRDefault="00001E6E"/>
    <w:p w14:paraId="39043E12" w14:textId="1E8B1BA7" w:rsidR="00B41BA5" w:rsidRDefault="00B41BA5">
      <w:r>
        <w:rPr>
          <w:noProof/>
        </w:rPr>
        <w:drawing>
          <wp:inline distT="0" distB="0" distL="0" distR="0" wp14:anchorId="4FC10506" wp14:editId="2B4C05E6">
            <wp:extent cx="5943600" cy="2649855"/>
            <wp:effectExtent l="0" t="0" r="0" b="0"/>
            <wp:docPr id="1" name="Picture 1" descr="Có thể là hình ảnh về văn bản cho biết 'Battery Connector &amp; Reservoir Capacitors J1 61300211121 D1 SH-J1 BT R1 12.1 1SS315TPH3F GND VBATT GND C1 DNPC6 DNPC28 DNPC29 DNPC30 DNPC31 100μF 1206 1206 1206 1206 1206 10V X5R GND GND GND GND GND G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Battery Connector &amp; Reservoir Capacitors J1 61300211121 D1 SH-J1 BT R1 12.1 1SS315TPH3F GND VBATT GND C1 DNPC6 DNPC28 DNPC29 DNPC30 DNPC31 100μF 1206 1206 1206 1206 1206 10V X5R GND GND GND GND GND G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inline>
        </w:drawing>
      </w:r>
    </w:p>
    <w:p w14:paraId="34105B78"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P2:Coin Cell Battery Life.</w:t>
      </w:r>
    </w:p>
    <w:p w14:paraId="7291D705"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Nguồn điện được thiết kế tham chiếu này là pin đồng xu lithium-ion Energizer® CR2032. Pin này được chọn vì chi phí thấp và tỷ lệ dung lượng cung cấp trên kích thước là cao. Đặc tính điện áp của pin lithium-ion CR2032 pin đồng xu cũng rất lý tưởng. Điện áp đầu ra tương đối bằng phẳng trong suốt thời gian phóng điện cho đến khi pin gần như cạn kiệt. Khi pin cạn kiệt, điện áp đầu ra của pin giảm tương đối nhanh.</w:t>
      </w:r>
    </w:p>
    <w:p w14:paraId="5FF2BF25"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 xml:space="preserve">Ngay sau pin là MOSFET kênh P có RDS_ON thấp. MOSFET kênh P ngăn chặn hư hỏng phần cứng nếu pin dạng đồng xu được lắp ngược lại và giảm thiểu điện áp rơi thuận khi mạch hoạt động bình thường. </w:t>
      </w:r>
    </w:p>
    <w:p w14:paraId="7E9BD0AB"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Một điện trở thử nghiệm được đặt nối tiếp với nguồn pin của mạch này để cho phép dễ dàng đo dòng điện một cách đơn giản, bằng cách đo điện áp trên J1 trên sơ đồ .</w:t>
      </w:r>
    </w:p>
    <w:p w14:paraId="3AA13558"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lastRenderedPageBreak/>
        <w:t>Điện trở đặt này tuỳ biến và có thể thay bất kỳ giá trị nào thuận tiện cho việc kiểm tra nguồn điện.</w:t>
      </w:r>
    </w:p>
    <w:p w14:paraId="5588494F" w14:textId="77777777" w:rsidR="00B41BA5" w:rsidRPr="00B41BA5" w:rsidRDefault="00B41BA5" w:rsidP="00B41BA5">
      <w:pPr>
        <w:spacing w:after="0" w:line="240" w:lineRule="auto"/>
        <w:rPr>
          <w:rFonts w:ascii="Times New Roman" w:eastAsia="Times New Roman" w:hAnsi="Times New Roman" w:cs="Times New Roman"/>
          <w:sz w:val="24"/>
          <w:szCs w:val="24"/>
        </w:rPr>
      </w:pPr>
      <w:r w:rsidRPr="00B41BA5">
        <w:rPr>
          <w:rFonts w:ascii="Times New Roman" w:eastAsia="Times New Roman" w:hAnsi="Times New Roman" w:cs="Times New Roman"/>
          <w:sz w:val="24"/>
          <w:szCs w:val="24"/>
        </w:rPr>
        <w:t>Khi pin sắp hết tuổi thọ, nội trở bên trong pin bắt đầu gia tăng đáng kể và giảm điện áp đầu cực pin. Các tụ điện C1 đến C8 trong Hình 4 được đặt để giữ điện áp nguồn từ từ giảm xuống quá thấp trong thời gian tải hoạt động cao, chẳng hạn như bật còi hoặc việc truyền dữ liệu đang hoạt động được điều khiển từ MCU.</w:t>
      </w:r>
    </w:p>
    <w:p w14:paraId="59B09A00" w14:textId="68713B75" w:rsidR="00B41BA5" w:rsidRDefault="00B41BA5"/>
    <w:p w14:paraId="5B02D696" w14:textId="5A3858B1" w:rsidR="00B41BA5" w:rsidRDefault="00B41BA5">
      <w:r>
        <w:rPr>
          <w:noProof/>
        </w:rPr>
        <w:lastRenderedPageBreak/>
        <w:drawing>
          <wp:inline distT="0" distB="0" distL="0" distR="0" wp14:anchorId="00AD2A65" wp14:editId="59A997FB">
            <wp:extent cx="5943600" cy="7687945"/>
            <wp:effectExtent l="0" t="0" r="0" b="8255"/>
            <wp:docPr id="2"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687945"/>
                    </a:xfrm>
                    <a:prstGeom prst="rect">
                      <a:avLst/>
                    </a:prstGeom>
                    <a:noFill/>
                    <a:ln>
                      <a:noFill/>
                    </a:ln>
                  </pic:spPr>
                </pic:pic>
              </a:graphicData>
            </a:graphic>
          </wp:inline>
        </w:drawing>
      </w:r>
    </w:p>
    <w:p w14:paraId="3EAF5658" w14:textId="647E8DFE" w:rsidR="00B41BA5" w:rsidRDefault="00B41BA5">
      <w:r>
        <w:rPr>
          <w:noProof/>
        </w:rPr>
        <w:lastRenderedPageBreak/>
        <w:drawing>
          <wp:inline distT="0" distB="0" distL="0" distR="0" wp14:anchorId="0480E7CB" wp14:editId="387FF992">
            <wp:extent cx="5943600" cy="7687945"/>
            <wp:effectExtent l="0" t="0" r="0" b="8255"/>
            <wp:docPr id="3" name="Picture 3" descr="Có thể là hình ảnh về văn bản cho biết 'Internal Charge Entering Fmbattery Leaving R_Load =[ibat(t)dt Figure 5. Battery Power Schematic Sử Hình làm Công thức khảo, dòng điện từ pin, ibat, có thể MIN where: tính bằng VBAT (2) )= VBAT-Vo RINTERNAL allowable device to work Output rest evoltage circuit Nominal voltage battery end Rinternal Internal resistance battery Current draw previous flife voltage Table Power Supply Design Assumptions SOURCE VgAT V。=VMN TX la BUZZER 2.7V 14mA To calculate TX: VINIT =2.7V 2.5mA 250=2.075 14mA 2.7V-1.8V 250Ω 6mA 2.5mA 23msx 2.075 870μ (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 thể là hình ảnh về văn bản cho biết 'Internal Charge Entering Fmbattery Leaving R_Load =[ibat(t)dt Figure 5. Battery Power Schematic Sử Hình làm Công thức khảo, dòng điện từ pin, ibat, có thể MIN where: tính bằng VBAT (2) )= VBAT-Vo RINTERNAL allowable device to work Output rest evoltage circuit Nominal voltage battery end Rinternal Internal resistance battery Current draw previous flife voltage Table Power Supply Design Assumptions SOURCE VgAT V。=VMN TX la BUZZER 2.7V 14mA To calculate TX: VINIT =2.7V 2.5mA 250=2.075 14mA 2.7V-1.8V 250Ω 6mA 2.5mA 23msx 2.075 870μ (3)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687945"/>
                    </a:xfrm>
                    <a:prstGeom prst="rect">
                      <a:avLst/>
                    </a:prstGeom>
                    <a:noFill/>
                    <a:ln>
                      <a:noFill/>
                    </a:ln>
                  </pic:spPr>
                </pic:pic>
              </a:graphicData>
            </a:graphic>
          </wp:inline>
        </w:drawing>
      </w:r>
      <w:r>
        <w:rPr>
          <w:noProof/>
        </w:rPr>
        <w:lastRenderedPageBreak/>
        <w:drawing>
          <wp:inline distT="0" distB="0" distL="0" distR="0" wp14:anchorId="0E008EB3" wp14:editId="743108C9">
            <wp:extent cx="5943600" cy="7687945"/>
            <wp:effectExtent l="0" t="0" r="0" b="8255"/>
            <wp:docPr id="4" name="Picture 4" descr="Có thể là hình ảnh về văn bản cho biết 'For the buzzer: MNT=2.7V-2.5mAx250=2.075V mA 2.7V-1.8V 250Ω 00msx 2.075 873μ (5) Lựa chọn tụ điện được chọn là 1111 μF ìnó (6) Giá trị này 1111 μF) cho phép dung sai nhiều hơn khi tuổi thọ của Nếu thấy rằng điều này thể được tạo bởi x 330 uF tantalum thay đổi bị giảm. tiết kiệm chi phí. không cần thiết, một trong các tụ điện thể được loại bỏ hoặ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 thể là hình ảnh về văn bản cho biết 'For the buzzer: MNT=2.7V-2.5mAx250=2.075V mA 2.7V-1.8V 250Ω 00msx 2.075 873μ (5) Lựa chọn tụ điện được chọn là 1111 μF ìnó (6) Giá trị này 1111 μF) cho phép dung sai nhiều hơn khi tuổi thọ của Nếu thấy rằng điều này thể được tạo bởi x 330 uF tantalum thay đổi bị giảm. tiết kiệm chi phí. không cần thiết, một trong các tụ điện thể được loại bỏ hoặ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87945"/>
                    </a:xfrm>
                    <a:prstGeom prst="rect">
                      <a:avLst/>
                    </a:prstGeom>
                    <a:noFill/>
                    <a:ln>
                      <a:noFill/>
                    </a:ln>
                  </pic:spPr>
                </pic:pic>
              </a:graphicData>
            </a:graphic>
          </wp:inline>
        </w:drawing>
      </w:r>
    </w:p>
    <w:sectPr w:rsidR="00B4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F0"/>
    <w:rsid w:val="00001E6E"/>
    <w:rsid w:val="00B41BA5"/>
    <w:rsid w:val="00FA3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B91D"/>
  <w15:chartTrackingRefBased/>
  <w15:docId w15:val="{7D2D839E-CCD1-433A-AD6C-B425D274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11865">
      <w:bodyDiv w:val="1"/>
      <w:marLeft w:val="0"/>
      <w:marRight w:val="0"/>
      <w:marTop w:val="0"/>
      <w:marBottom w:val="0"/>
      <w:divBdr>
        <w:top w:val="none" w:sz="0" w:space="0" w:color="auto"/>
        <w:left w:val="none" w:sz="0" w:space="0" w:color="auto"/>
        <w:bottom w:val="none" w:sz="0" w:space="0" w:color="auto"/>
        <w:right w:val="none" w:sz="0" w:space="0" w:color="auto"/>
      </w:divBdr>
      <w:divsChild>
        <w:div w:id="157118954">
          <w:marLeft w:val="0"/>
          <w:marRight w:val="0"/>
          <w:marTop w:val="0"/>
          <w:marBottom w:val="0"/>
          <w:divBdr>
            <w:top w:val="none" w:sz="0" w:space="0" w:color="auto"/>
            <w:left w:val="none" w:sz="0" w:space="0" w:color="auto"/>
            <w:bottom w:val="none" w:sz="0" w:space="0" w:color="auto"/>
            <w:right w:val="none" w:sz="0" w:space="0" w:color="auto"/>
          </w:divBdr>
          <w:divsChild>
            <w:div w:id="220793146">
              <w:marLeft w:val="0"/>
              <w:marRight w:val="0"/>
              <w:marTop w:val="0"/>
              <w:marBottom w:val="0"/>
              <w:divBdr>
                <w:top w:val="none" w:sz="0" w:space="0" w:color="auto"/>
                <w:left w:val="none" w:sz="0" w:space="0" w:color="auto"/>
                <w:bottom w:val="none" w:sz="0" w:space="0" w:color="auto"/>
                <w:right w:val="none" w:sz="0" w:space="0" w:color="auto"/>
              </w:divBdr>
              <w:divsChild>
                <w:div w:id="208155979">
                  <w:marLeft w:val="0"/>
                  <w:marRight w:val="0"/>
                  <w:marTop w:val="0"/>
                  <w:marBottom w:val="0"/>
                  <w:divBdr>
                    <w:top w:val="none" w:sz="0" w:space="0" w:color="auto"/>
                    <w:left w:val="none" w:sz="0" w:space="0" w:color="auto"/>
                    <w:bottom w:val="none" w:sz="0" w:space="0" w:color="auto"/>
                    <w:right w:val="none" w:sz="0" w:space="0" w:color="auto"/>
                  </w:divBdr>
                  <w:divsChild>
                    <w:div w:id="207642995">
                      <w:marLeft w:val="0"/>
                      <w:marRight w:val="0"/>
                      <w:marTop w:val="0"/>
                      <w:marBottom w:val="0"/>
                      <w:divBdr>
                        <w:top w:val="none" w:sz="0" w:space="0" w:color="auto"/>
                        <w:left w:val="none" w:sz="0" w:space="0" w:color="auto"/>
                        <w:bottom w:val="none" w:sz="0" w:space="0" w:color="auto"/>
                        <w:right w:val="none" w:sz="0" w:space="0" w:color="auto"/>
                      </w:divBdr>
                      <w:divsChild>
                        <w:div w:id="370034727">
                          <w:marLeft w:val="0"/>
                          <w:marRight w:val="0"/>
                          <w:marTop w:val="0"/>
                          <w:marBottom w:val="0"/>
                          <w:divBdr>
                            <w:top w:val="none" w:sz="0" w:space="0" w:color="auto"/>
                            <w:left w:val="none" w:sz="0" w:space="0" w:color="auto"/>
                            <w:bottom w:val="none" w:sz="0" w:space="0" w:color="auto"/>
                            <w:right w:val="none" w:sz="0" w:space="0" w:color="auto"/>
                          </w:divBdr>
                          <w:divsChild>
                            <w:div w:id="760570655">
                              <w:marLeft w:val="0"/>
                              <w:marRight w:val="0"/>
                              <w:marTop w:val="0"/>
                              <w:marBottom w:val="0"/>
                              <w:divBdr>
                                <w:top w:val="none" w:sz="0" w:space="0" w:color="auto"/>
                                <w:left w:val="none" w:sz="0" w:space="0" w:color="auto"/>
                                <w:bottom w:val="none" w:sz="0" w:space="0" w:color="auto"/>
                                <w:right w:val="none" w:sz="0" w:space="0" w:color="auto"/>
                              </w:divBdr>
                            </w:div>
                            <w:div w:id="1216890612">
                              <w:marLeft w:val="0"/>
                              <w:marRight w:val="0"/>
                              <w:marTop w:val="0"/>
                              <w:marBottom w:val="0"/>
                              <w:divBdr>
                                <w:top w:val="none" w:sz="0" w:space="0" w:color="auto"/>
                                <w:left w:val="none" w:sz="0" w:space="0" w:color="auto"/>
                                <w:bottom w:val="none" w:sz="0" w:space="0" w:color="auto"/>
                                <w:right w:val="none" w:sz="0" w:space="0" w:color="auto"/>
                              </w:divBdr>
                            </w:div>
                            <w:div w:id="671374411">
                              <w:marLeft w:val="0"/>
                              <w:marRight w:val="0"/>
                              <w:marTop w:val="0"/>
                              <w:marBottom w:val="0"/>
                              <w:divBdr>
                                <w:top w:val="none" w:sz="0" w:space="0" w:color="auto"/>
                                <w:left w:val="none" w:sz="0" w:space="0" w:color="auto"/>
                                <w:bottom w:val="none" w:sz="0" w:space="0" w:color="auto"/>
                                <w:right w:val="none" w:sz="0" w:space="0" w:color="auto"/>
                              </w:divBdr>
                            </w:div>
                            <w:div w:id="1279528275">
                              <w:marLeft w:val="0"/>
                              <w:marRight w:val="0"/>
                              <w:marTop w:val="0"/>
                              <w:marBottom w:val="0"/>
                              <w:divBdr>
                                <w:top w:val="none" w:sz="0" w:space="0" w:color="auto"/>
                                <w:left w:val="none" w:sz="0" w:space="0" w:color="auto"/>
                                <w:bottom w:val="none" w:sz="0" w:space="0" w:color="auto"/>
                                <w:right w:val="none" w:sz="0" w:space="0" w:color="auto"/>
                              </w:divBdr>
                            </w:div>
                            <w:div w:id="1074814872">
                              <w:marLeft w:val="0"/>
                              <w:marRight w:val="0"/>
                              <w:marTop w:val="0"/>
                              <w:marBottom w:val="0"/>
                              <w:divBdr>
                                <w:top w:val="none" w:sz="0" w:space="0" w:color="auto"/>
                                <w:left w:val="none" w:sz="0" w:space="0" w:color="auto"/>
                                <w:bottom w:val="none" w:sz="0" w:space="0" w:color="auto"/>
                                <w:right w:val="none" w:sz="0" w:space="0" w:color="auto"/>
                              </w:divBdr>
                            </w:div>
                            <w:div w:id="20434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727100">
      <w:bodyDiv w:val="1"/>
      <w:marLeft w:val="0"/>
      <w:marRight w:val="0"/>
      <w:marTop w:val="0"/>
      <w:marBottom w:val="0"/>
      <w:divBdr>
        <w:top w:val="none" w:sz="0" w:space="0" w:color="auto"/>
        <w:left w:val="none" w:sz="0" w:space="0" w:color="auto"/>
        <w:bottom w:val="none" w:sz="0" w:space="0" w:color="auto"/>
        <w:right w:val="none" w:sz="0" w:space="0" w:color="auto"/>
      </w:divBdr>
      <w:divsChild>
        <w:div w:id="1871214258">
          <w:marLeft w:val="0"/>
          <w:marRight w:val="0"/>
          <w:marTop w:val="0"/>
          <w:marBottom w:val="0"/>
          <w:divBdr>
            <w:top w:val="none" w:sz="0" w:space="0" w:color="auto"/>
            <w:left w:val="none" w:sz="0" w:space="0" w:color="auto"/>
            <w:bottom w:val="none" w:sz="0" w:space="0" w:color="auto"/>
            <w:right w:val="none" w:sz="0" w:space="0" w:color="auto"/>
          </w:divBdr>
          <w:divsChild>
            <w:div w:id="1451704928">
              <w:marLeft w:val="0"/>
              <w:marRight w:val="0"/>
              <w:marTop w:val="0"/>
              <w:marBottom w:val="0"/>
              <w:divBdr>
                <w:top w:val="none" w:sz="0" w:space="0" w:color="auto"/>
                <w:left w:val="none" w:sz="0" w:space="0" w:color="auto"/>
                <w:bottom w:val="none" w:sz="0" w:space="0" w:color="auto"/>
                <w:right w:val="none" w:sz="0" w:space="0" w:color="auto"/>
              </w:divBdr>
              <w:divsChild>
                <w:div w:id="1639721739">
                  <w:marLeft w:val="0"/>
                  <w:marRight w:val="0"/>
                  <w:marTop w:val="0"/>
                  <w:marBottom w:val="0"/>
                  <w:divBdr>
                    <w:top w:val="none" w:sz="0" w:space="0" w:color="auto"/>
                    <w:left w:val="none" w:sz="0" w:space="0" w:color="auto"/>
                    <w:bottom w:val="none" w:sz="0" w:space="0" w:color="auto"/>
                    <w:right w:val="none" w:sz="0" w:space="0" w:color="auto"/>
                  </w:divBdr>
                  <w:divsChild>
                    <w:div w:id="995300309">
                      <w:marLeft w:val="0"/>
                      <w:marRight w:val="0"/>
                      <w:marTop w:val="0"/>
                      <w:marBottom w:val="0"/>
                      <w:divBdr>
                        <w:top w:val="none" w:sz="0" w:space="0" w:color="auto"/>
                        <w:left w:val="none" w:sz="0" w:space="0" w:color="auto"/>
                        <w:bottom w:val="none" w:sz="0" w:space="0" w:color="auto"/>
                        <w:right w:val="none" w:sz="0" w:space="0" w:color="auto"/>
                      </w:divBdr>
                      <w:divsChild>
                        <w:div w:id="1162545424">
                          <w:marLeft w:val="0"/>
                          <w:marRight w:val="0"/>
                          <w:marTop w:val="0"/>
                          <w:marBottom w:val="0"/>
                          <w:divBdr>
                            <w:top w:val="none" w:sz="0" w:space="0" w:color="auto"/>
                            <w:left w:val="none" w:sz="0" w:space="0" w:color="auto"/>
                            <w:bottom w:val="none" w:sz="0" w:space="0" w:color="auto"/>
                            <w:right w:val="none" w:sz="0" w:space="0" w:color="auto"/>
                          </w:divBdr>
                          <w:divsChild>
                            <w:div w:id="530147776">
                              <w:marLeft w:val="0"/>
                              <w:marRight w:val="0"/>
                              <w:marTop w:val="0"/>
                              <w:marBottom w:val="0"/>
                              <w:divBdr>
                                <w:top w:val="none" w:sz="0" w:space="0" w:color="auto"/>
                                <w:left w:val="none" w:sz="0" w:space="0" w:color="auto"/>
                                <w:bottom w:val="none" w:sz="0" w:space="0" w:color="auto"/>
                                <w:right w:val="none" w:sz="0" w:space="0" w:color="auto"/>
                              </w:divBdr>
                            </w:div>
                            <w:div w:id="406389644">
                              <w:marLeft w:val="0"/>
                              <w:marRight w:val="0"/>
                              <w:marTop w:val="0"/>
                              <w:marBottom w:val="0"/>
                              <w:divBdr>
                                <w:top w:val="none" w:sz="0" w:space="0" w:color="auto"/>
                                <w:left w:val="none" w:sz="0" w:space="0" w:color="auto"/>
                                <w:bottom w:val="none" w:sz="0" w:space="0" w:color="auto"/>
                                <w:right w:val="none" w:sz="0" w:space="0" w:color="auto"/>
                              </w:divBdr>
                            </w:div>
                            <w:div w:id="669023057">
                              <w:marLeft w:val="0"/>
                              <w:marRight w:val="0"/>
                              <w:marTop w:val="0"/>
                              <w:marBottom w:val="0"/>
                              <w:divBdr>
                                <w:top w:val="none" w:sz="0" w:space="0" w:color="auto"/>
                                <w:left w:val="none" w:sz="0" w:space="0" w:color="auto"/>
                                <w:bottom w:val="none" w:sz="0" w:space="0" w:color="auto"/>
                                <w:right w:val="none" w:sz="0" w:space="0" w:color="auto"/>
                              </w:divBdr>
                            </w:div>
                            <w:div w:id="2033609566">
                              <w:marLeft w:val="0"/>
                              <w:marRight w:val="0"/>
                              <w:marTop w:val="0"/>
                              <w:marBottom w:val="0"/>
                              <w:divBdr>
                                <w:top w:val="none" w:sz="0" w:space="0" w:color="auto"/>
                                <w:left w:val="none" w:sz="0" w:space="0" w:color="auto"/>
                                <w:bottom w:val="none" w:sz="0" w:space="0" w:color="auto"/>
                                <w:right w:val="none" w:sz="0" w:space="0" w:color="auto"/>
                              </w:divBdr>
                            </w:div>
                            <w:div w:id="225067180">
                              <w:marLeft w:val="0"/>
                              <w:marRight w:val="0"/>
                              <w:marTop w:val="0"/>
                              <w:marBottom w:val="0"/>
                              <w:divBdr>
                                <w:top w:val="none" w:sz="0" w:space="0" w:color="auto"/>
                                <w:left w:val="none" w:sz="0" w:space="0" w:color="auto"/>
                                <w:bottom w:val="none" w:sz="0" w:space="0" w:color="auto"/>
                                <w:right w:val="none" w:sz="0" w:space="0" w:color="auto"/>
                              </w:divBdr>
                            </w:div>
                            <w:div w:id="590162626">
                              <w:marLeft w:val="0"/>
                              <w:marRight w:val="0"/>
                              <w:marTop w:val="0"/>
                              <w:marBottom w:val="0"/>
                              <w:divBdr>
                                <w:top w:val="none" w:sz="0" w:space="0" w:color="auto"/>
                                <w:left w:val="none" w:sz="0" w:space="0" w:color="auto"/>
                                <w:bottom w:val="none" w:sz="0" w:space="0" w:color="auto"/>
                                <w:right w:val="none" w:sz="0" w:space="0" w:color="auto"/>
                              </w:divBdr>
                            </w:div>
                            <w:div w:id="17963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255215">
      <w:bodyDiv w:val="1"/>
      <w:marLeft w:val="0"/>
      <w:marRight w:val="0"/>
      <w:marTop w:val="0"/>
      <w:marBottom w:val="0"/>
      <w:divBdr>
        <w:top w:val="none" w:sz="0" w:space="0" w:color="auto"/>
        <w:left w:val="none" w:sz="0" w:space="0" w:color="auto"/>
        <w:bottom w:val="none" w:sz="0" w:space="0" w:color="auto"/>
        <w:right w:val="none" w:sz="0" w:space="0" w:color="auto"/>
      </w:divBdr>
      <w:divsChild>
        <w:div w:id="1930001436">
          <w:marLeft w:val="0"/>
          <w:marRight w:val="0"/>
          <w:marTop w:val="0"/>
          <w:marBottom w:val="0"/>
          <w:divBdr>
            <w:top w:val="none" w:sz="0" w:space="0" w:color="auto"/>
            <w:left w:val="none" w:sz="0" w:space="0" w:color="auto"/>
            <w:bottom w:val="none" w:sz="0" w:space="0" w:color="auto"/>
            <w:right w:val="none" w:sz="0" w:space="0" w:color="auto"/>
          </w:divBdr>
          <w:divsChild>
            <w:div w:id="3754766">
              <w:marLeft w:val="0"/>
              <w:marRight w:val="0"/>
              <w:marTop w:val="0"/>
              <w:marBottom w:val="0"/>
              <w:divBdr>
                <w:top w:val="none" w:sz="0" w:space="0" w:color="auto"/>
                <w:left w:val="none" w:sz="0" w:space="0" w:color="auto"/>
                <w:bottom w:val="none" w:sz="0" w:space="0" w:color="auto"/>
                <w:right w:val="none" w:sz="0" w:space="0" w:color="auto"/>
              </w:divBdr>
              <w:divsChild>
                <w:div w:id="572853559">
                  <w:marLeft w:val="0"/>
                  <w:marRight w:val="0"/>
                  <w:marTop w:val="0"/>
                  <w:marBottom w:val="0"/>
                  <w:divBdr>
                    <w:top w:val="none" w:sz="0" w:space="0" w:color="auto"/>
                    <w:left w:val="none" w:sz="0" w:space="0" w:color="auto"/>
                    <w:bottom w:val="none" w:sz="0" w:space="0" w:color="auto"/>
                    <w:right w:val="none" w:sz="0" w:space="0" w:color="auto"/>
                  </w:divBdr>
                  <w:divsChild>
                    <w:div w:id="1710766358">
                      <w:marLeft w:val="0"/>
                      <w:marRight w:val="0"/>
                      <w:marTop w:val="0"/>
                      <w:marBottom w:val="0"/>
                      <w:divBdr>
                        <w:top w:val="none" w:sz="0" w:space="0" w:color="auto"/>
                        <w:left w:val="none" w:sz="0" w:space="0" w:color="auto"/>
                        <w:bottom w:val="none" w:sz="0" w:space="0" w:color="auto"/>
                        <w:right w:val="none" w:sz="0" w:space="0" w:color="auto"/>
                      </w:divBdr>
                      <w:divsChild>
                        <w:div w:id="535509302">
                          <w:marLeft w:val="0"/>
                          <w:marRight w:val="0"/>
                          <w:marTop w:val="0"/>
                          <w:marBottom w:val="0"/>
                          <w:divBdr>
                            <w:top w:val="none" w:sz="0" w:space="0" w:color="auto"/>
                            <w:left w:val="none" w:sz="0" w:space="0" w:color="auto"/>
                            <w:bottom w:val="none" w:sz="0" w:space="0" w:color="auto"/>
                            <w:right w:val="none" w:sz="0" w:space="0" w:color="auto"/>
                          </w:divBdr>
                          <w:divsChild>
                            <w:div w:id="1991592090">
                              <w:marLeft w:val="0"/>
                              <w:marRight w:val="0"/>
                              <w:marTop w:val="0"/>
                              <w:marBottom w:val="0"/>
                              <w:divBdr>
                                <w:top w:val="none" w:sz="0" w:space="0" w:color="auto"/>
                                <w:left w:val="none" w:sz="0" w:space="0" w:color="auto"/>
                                <w:bottom w:val="none" w:sz="0" w:space="0" w:color="auto"/>
                                <w:right w:val="none" w:sz="0" w:space="0" w:color="auto"/>
                              </w:divBdr>
                            </w:div>
                            <w:div w:id="1720742516">
                              <w:marLeft w:val="0"/>
                              <w:marRight w:val="0"/>
                              <w:marTop w:val="0"/>
                              <w:marBottom w:val="0"/>
                              <w:divBdr>
                                <w:top w:val="none" w:sz="0" w:space="0" w:color="auto"/>
                                <w:left w:val="none" w:sz="0" w:space="0" w:color="auto"/>
                                <w:bottom w:val="none" w:sz="0" w:space="0" w:color="auto"/>
                                <w:right w:val="none" w:sz="0" w:space="0" w:color="auto"/>
                              </w:divBdr>
                            </w:div>
                            <w:div w:id="1977643884">
                              <w:marLeft w:val="0"/>
                              <w:marRight w:val="0"/>
                              <w:marTop w:val="0"/>
                              <w:marBottom w:val="0"/>
                              <w:divBdr>
                                <w:top w:val="none" w:sz="0" w:space="0" w:color="auto"/>
                                <w:left w:val="none" w:sz="0" w:space="0" w:color="auto"/>
                                <w:bottom w:val="none" w:sz="0" w:space="0" w:color="auto"/>
                                <w:right w:val="none" w:sz="0" w:space="0" w:color="auto"/>
                              </w:divBdr>
                            </w:div>
                            <w:div w:id="577986570">
                              <w:marLeft w:val="0"/>
                              <w:marRight w:val="0"/>
                              <w:marTop w:val="0"/>
                              <w:marBottom w:val="0"/>
                              <w:divBdr>
                                <w:top w:val="none" w:sz="0" w:space="0" w:color="auto"/>
                                <w:left w:val="none" w:sz="0" w:space="0" w:color="auto"/>
                                <w:bottom w:val="none" w:sz="0" w:space="0" w:color="auto"/>
                                <w:right w:val="none" w:sz="0" w:space="0" w:color="auto"/>
                              </w:divBdr>
                            </w:div>
                            <w:div w:id="210464568">
                              <w:marLeft w:val="0"/>
                              <w:marRight w:val="0"/>
                              <w:marTop w:val="0"/>
                              <w:marBottom w:val="0"/>
                              <w:divBdr>
                                <w:top w:val="none" w:sz="0" w:space="0" w:color="auto"/>
                                <w:left w:val="none" w:sz="0" w:space="0" w:color="auto"/>
                                <w:bottom w:val="none" w:sz="0" w:space="0" w:color="auto"/>
                                <w:right w:val="none" w:sz="0" w:space="0" w:color="auto"/>
                              </w:divBdr>
                            </w:div>
                            <w:div w:id="1306623171">
                              <w:marLeft w:val="0"/>
                              <w:marRight w:val="0"/>
                              <w:marTop w:val="0"/>
                              <w:marBottom w:val="0"/>
                              <w:divBdr>
                                <w:top w:val="none" w:sz="0" w:space="0" w:color="auto"/>
                                <w:left w:val="none" w:sz="0" w:space="0" w:color="auto"/>
                                <w:bottom w:val="none" w:sz="0" w:space="0" w:color="auto"/>
                                <w:right w:val="none" w:sz="0" w:space="0" w:color="auto"/>
                              </w:divBdr>
                            </w:div>
                            <w:div w:id="19530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2023-03-25T09:49:00Z</dcterms:created>
  <dcterms:modified xsi:type="dcterms:W3CDTF">2023-03-25T09:51:00Z</dcterms:modified>
</cp:coreProperties>
</file>