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0A27" w14:textId="77777777" w:rsidR="00B37E4A" w:rsidRDefault="0037207B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MettleNest</w:t>
      </w:r>
    </w:p>
    <w:p w14:paraId="5D1E0A28" w14:textId="77777777" w:rsidR="00B37E4A" w:rsidRDefault="0037207B">
      <w:pPr>
        <w:spacing w:after="4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Course Outline: Surviving the Meltdown</w:t>
      </w:r>
    </w:p>
    <w:p w14:paraId="5D1E0A29" w14:textId="77777777" w:rsidR="00B37E4A" w:rsidRDefault="0037207B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55555"/>
        </w:rPr>
        <w:t xml:space="preserve">Using the BRIDGE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Method  ·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Working draft</w:t>
      </w:r>
    </w:p>
    <w:p w14:paraId="5D1E0A2A" w14:textId="77777777" w:rsidR="00B37E4A" w:rsidRDefault="0037207B">
      <w:pPr>
        <w:spacing w:after="150"/>
      </w:pPr>
      <w:r>
        <w:rPr>
          <w:rFonts w:ascii="Calibri" w:eastAsia="Calibri" w:hAnsi="Calibri" w:cs="Calibri"/>
          <w:sz w:val="21"/>
          <w:szCs w:val="21"/>
        </w:rPr>
        <w:t>A four-module self-paced course for parents, built on the BRIDGE Method and grounded in current research on meltdowns specifically (not general misbehaviour). Each module is short (10–15 min video + a downloadable tool) so a parent mid-crisis can find what they need fast, and a parent with time can go deeper.</w:t>
      </w:r>
    </w:p>
    <w:p w14:paraId="5D1E0A2B" w14:textId="77777777" w:rsidR="00B37E4A" w:rsidRDefault="00B37E4A">
      <w:pPr>
        <w:pBdr>
          <w:bottom w:val="single" w:sz="4" w:space="1" w:color="DDDDDD"/>
        </w:pBdr>
        <w:spacing w:before="100" w:after="100"/>
      </w:pPr>
    </w:p>
    <w:p w14:paraId="5D1E0A2C" w14:textId="77777777" w:rsidR="00B37E4A" w:rsidRDefault="0037207B">
      <w:pPr>
        <w:pBdr>
          <w:bottom w:val="single" w:sz="6" w:space="6" w:color="CCCCCC"/>
        </w:pBdr>
        <w:spacing w:before="400" w:after="15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Module 1 — What Is This Meltdown Telling Me? (B)</w:t>
      </w:r>
    </w:p>
    <w:p w14:paraId="5D1E0A2D" w14:textId="77777777" w:rsidR="00B37E4A" w:rsidRDefault="0037207B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t>Learning objective</w:t>
      </w:r>
    </w:p>
    <w:p w14:paraId="5D1E0A2E" w14:textId="77777777" w:rsidR="00B37E4A" w:rsidRDefault="0037207B">
      <w:pPr>
        <w:spacing w:after="150"/>
      </w:pPr>
      <w:r>
        <w:rPr>
          <w:rFonts w:ascii="Calibri" w:eastAsia="Calibri" w:hAnsi="Calibri" w:cs="Calibri"/>
          <w:sz w:val="21"/>
          <w:szCs w:val="21"/>
        </w:rPr>
        <w:t xml:space="preserve">Parents leave able to tell the difference between a tantrum and a </w:t>
      </w:r>
      <w:proofErr w:type="gramStart"/>
      <w:r>
        <w:rPr>
          <w:rFonts w:ascii="Calibri" w:eastAsia="Calibri" w:hAnsi="Calibri" w:cs="Calibri"/>
          <w:sz w:val="21"/>
          <w:szCs w:val="21"/>
        </w:rPr>
        <w:t>meltdown, and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understand why that distinction changes everything about how to respond.</w:t>
      </w:r>
    </w:p>
    <w:p w14:paraId="5D1E0A2F" w14:textId="77777777" w:rsidR="00B37E4A" w:rsidRDefault="0037207B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t>Key teaching points</w:t>
      </w:r>
    </w:p>
    <w:p w14:paraId="5D1E0A30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Meltdown vs. tantrum: </w:t>
      </w:r>
      <w:r>
        <w:rPr>
          <w:rFonts w:ascii="Calibri" w:eastAsia="Calibri" w:hAnsi="Calibri" w:cs="Calibri"/>
          <w:sz w:val="21"/>
          <w:szCs w:val="21"/>
        </w:rPr>
        <w:t xml:space="preserve">a tantrum is goal-directed, a child has some control and is seeking an outcome. A meltdown is a loss of control caused by nervous system </w:t>
      </w:r>
      <w:proofErr w:type="gramStart"/>
      <w:r>
        <w:rPr>
          <w:rFonts w:ascii="Calibri" w:eastAsia="Calibri" w:hAnsi="Calibri" w:cs="Calibri"/>
          <w:sz w:val="21"/>
          <w:szCs w:val="21"/>
        </w:rPr>
        <w:t>overload,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the child isn't choosing it and can't simply stop.</w:t>
      </w:r>
    </w:p>
    <w:p w14:paraId="5D1E0A31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The "stress bucket": </w:t>
      </w:r>
      <w:r>
        <w:rPr>
          <w:rFonts w:ascii="Calibri" w:eastAsia="Calibri" w:hAnsi="Calibri" w:cs="Calibri"/>
          <w:sz w:val="21"/>
          <w:szCs w:val="21"/>
        </w:rPr>
        <w:t>meltdowns rarely come out of nowhere, they build as stress accumulates from sensory input, unexpected change, fatigue, or emotional load, until the bucket overflows.</w:t>
      </w:r>
    </w:p>
    <w:p w14:paraId="5D1E0A32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The rumble stage: </w:t>
      </w:r>
      <w:r>
        <w:rPr>
          <w:rFonts w:ascii="Calibri" w:eastAsia="Calibri" w:hAnsi="Calibri" w:cs="Calibri"/>
          <w:sz w:val="21"/>
          <w:szCs w:val="21"/>
        </w:rPr>
        <w:t>most meltdowns have early warning signs before they fully escalate, this is the window where prevention is still possible.</w:t>
      </w:r>
    </w:p>
    <w:p w14:paraId="5D1E0A33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Applying B (the four functions): </w:t>
      </w:r>
      <w:r>
        <w:rPr>
          <w:rFonts w:ascii="Calibri" w:eastAsia="Calibri" w:hAnsi="Calibri" w:cs="Calibri"/>
          <w:sz w:val="21"/>
          <w:szCs w:val="21"/>
        </w:rPr>
        <w:t>even though a meltdown isn't goal-directed the way a tantrum is, the same four functions help explain what filled the bucket: attention, escape, access, or sensory overwhelm.</w:t>
      </w:r>
    </w:p>
    <w:p w14:paraId="5D1E0A34" w14:textId="77777777" w:rsidR="00B37E4A" w:rsidRDefault="0037207B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t xml:space="preserve">Why </w:t>
      </w:r>
      <w:proofErr w:type="gramStart"/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t>this matters</w:t>
      </w:r>
      <w:proofErr w:type="gramEnd"/>
    </w:p>
    <w:p w14:paraId="5D1E0A35" w14:textId="77777777" w:rsidR="00B37E4A" w:rsidRDefault="0037207B">
      <w:pPr>
        <w:pBdr>
          <w:left w:val="single" w:sz="18" w:space="8" w:color="1F3A5F"/>
        </w:pBdr>
        <w:spacing w:before="100" w:after="200"/>
        <w:ind w:left="300"/>
      </w:pPr>
      <w:r>
        <w:rPr>
          <w:rFonts w:ascii="Calibri" w:eastAsia="Calibri" w:hAnsi="Calibri" w:cs="Calibri"/>
          <w:sz w:val="21"/>
          <w:szCs w:val="21"/>
        </w:rPr>
        <w:t>Treating a meltdown like a tantrum, adding demands, pressure, or consequences, doesn't just fail to help, it can make things significantly worse and erode a child's sense of safety. Getting this distinction right is the single highest-leverage thing a parent can learn.</w:t>
      </w:r>
    </w:p>
    <w:p w14:paraId="5D1E0A36" w14:textId="77777777" w:rsidR="00B37E4A" w:rsidRDefault="0037207B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t>Practical activity</w:t>
      </w:r>
    </w:p>
    <w:p w14:paraId="5D1E0A37" w14:textId="77777777" w:rsidR="00B37E4A" w:rsidRDefault="0037207B">
      <w:pPr>
        <w:spacing w:after="150"/>
      </w:pPr>
      <w:r>
        <w:rPr>
          <w:rFonts w:ascii="Calibri" w:eastAsia="Calibri" w:hAnsi="Calibri" w:cs="Calibri"/>
          <w:sz w:val="21"/>
          <w:szCs w:val="21"/>
        </w:rPr>
        <w:t>Parents identify their own child's "rumble stage" signs (fidgeting, going quiet, covering ears, repeating a phrase) using a simple checklist, this becomes the early-warning system for Module 2's prevention strategies.</w:t>
      </w:r>
    </w:p>
    <w:p w14:paraId="5D1E0A38" w14:textId="77777777" w:rsidR="00B37E4A" w:rsidRDefault="00B37E4A">
      <w:pPr>
        <w:pBdr>
          <w:bottom w:val="single" w:sz="4" w:space="1" w:color="DDDDDD"/>
        </w:pBdr>
        <w:spacing w:before="100" w:after="100"/>
      </w:pPr>
    </w:p>
    <w:p w14:paraId="5D1E0A39" w14:textId="77777777" w:rsidR="00B37E4A" w:rsidRDefault="0037207B">
      <w:pPr>
        <w:pBdr>
          <w:bottom w:val="single" w:sz="6" w:space="6" w:color="CCCCCC"/>
        </w:pBdr>
        <w:spacing w:before="400" w:after="15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Module 2 — Building the Toolkit (D)</w:t>
      </w:r>
    </w:p>
    <w:p w14:paraId="5D1E0A3A" w14:textId="77777777" w:rsidR="00B37E4A" w:rsidRDefault="0037207B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t>Learning objective</w:t>
      </w:r>
    </w:p>
    <w:p w14:paraId="5D1E0A3B" w14:textId="77777777" w:rsidR="00B37E4A" w:rsidRDefault="0037207B">
      <w:pPr>
        <w:spacing w:after="150"/>
      </w:pPr>
      <w:r>
        <w:rPr>
          <w:rFonts w:ascii="Calibri" w:eastAsia="Calibri" w:hAnsi="Calibri" w:cs="Calibri"/>
          <w:sz w:val="21"/>
          <w:szCs w:val="21"/>
        </w:rPr>
        <w:t>Parents leave with 2–3 concrete prevention and replacement strategies, matched to their own child's rumble-stage signs from Module 1.</w:t>
      </w:r>
    </w:p>
    <w:p w14:paraId="5D1E0A3C" w14:textId="77777777" w:rsidR="00B37E4A" w:rsidRDefault="0037207B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t>Key teaching points</w:t>
      </w:r>
    </w:p>
    <w:p w14:paraId="5D1E0A3D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Prevention beats intervention: </w:t>
      </w:r>
      <w:r>
        <w:rPr>
          <w:rFonts w:ascii="Calibri" w:eastAsia="Calibri" w:hAnsi="Calibri" w:cs="Calibri"/>
          <w:sz w:val="21"/>
          <w:szCs w:val="21"/>
        </w:rPr>
        <w:t>most of a parent's power is in the lead-up, not the meltdown itself. Reducing what's going into the stress bucket before it overflows is more effective than any in-the-moment technique.</w:t>
      </w:r>
    </w:p>
    <w:p w14:paraId="5D1E0A3E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Replacement behaviours for meltdowns specifically: </w:t>
      </w:r>
      <w:r>
        <w:rPr>
          <w:rFonts w:ascii="Calibri" w:eastAsia="Calibri" w:hAnsi="Calibri" w:cs="Calibri"/>
          <w:sz w:val="21"/>
          <w:szCs w:val="21"/>
        </w:rPr>
        <w:t>a break card, a sensory tool, or a simple exit phrase ("I need space") taught and practiced when calm, not introduced for the first time mid-meltdown.</w:t>
      </w:r>
    </w:p>
    <w:p w14:paraId="5D1E0A3F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Matching the strategy to the function: </w:t>
      </w:r>
      <w:r>
        <w:rPr>
          <w:rFonts w:ascii="Calibri" w:eastAsia="Calibri" w:hAnsi="Calibri" w:cs="Calibri"/>
          <w:sz w:val="21"/>
          <w:szCs w:val="21"/>
        </w:rPr>
        <w:t>a strategy for sensory overwhelm (noise-cancelling headphones, a quiet corner) looks different from one for escape (a shorter task, a warned transition).</w:t>
      </w:r>
    </w:p>
    <w:p w14:paraId="5D1E0A40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Shape gradually: </w:t>
      </w:r>
      <w:r>
        <w:rPr>
          <w:rFonts w:ascii="Calibri" w:eastAsia="Calibri" w:hAnsi="Calibri" w:cs="Calibri"/>
          <w:sz w:val="21"/>
          <w:szCs w:val="21"/>
        </w:rPr>
        <w:t>build tolerance and new skills in small steps, don't expect a brand-new coping tool to work perfectly the first time it's needed for real.</w:t>
      </w:r>
    </w:p>
    <w:p w14:paraId="5D1E0A41" w14:textId="77777777" w:rsidR="00B37E4A" w:rsidRDefault="0037207B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t>Practical activity</w:t>
      </w:r>
    </w:p>
    <w:p w14:paraId="5D1E0A42" w14:textId="77777777" w:rsidR="00B37E4A" w:rsidRDefault="0037207B">
      <w:pPr>
        <w:spacing w:after="150"/>
      </w:pPr>
      <w:r>
        <w:rPr>
          <w:rFonts w:ascii="Calibri" w:eastAsia="Calibri" w:hAnsi="Calibri" w:cs="Calibri"/>
          <w:sz w:val="21"/>
          <w:szCs w:val="21"/>
        </w:rPr>
        <w:t>Using the rumble-stage signs identified in Module 1, parents build a simple "prevention plan", one row per warning sign, one row per strategy to try first.</w:t>
      </w:r>
    </w:p>
    <w:p w14:paraId="5D1E0A43" w14:textId="77777777" w:rsidR="00B37E4A" w:rsidRDefault="00B37E4A">
      <w:pPr>
        <w:pBdr>
          <w:bottom w:val="single" w:sz="4" w:space="1" w:color="DDDDDD"/>
        </w:pBdr>
        <w:spacing w:before="100" w:after="100"/>
      </w:pPr>
    </w:p>
    <w:p w14:paraId="5D1E0A44" w14:textId="77777777" w:rsidR="00B37E4A" w:rsidRDefault="0037207B">
      <w:pPr>
        <w:pBdr>
          <w:bottom w:val="single" w:sz="6" w:space="6" w:color="CCCCCC"/>
        </w:pBdr>
        <w:spacing w:before="400" w:after="15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Module 3 — What to Say (and Not Say) in the Moment (G)</w:t>
      </w:r>
    </w:p>
    <w:p w14:paraId="5D1E0A45" w14:textId="77777777" w:rsidR="00B37E4A" w:rsidRDefault="0037207B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t>Learning objective</w:t>
      </w:r>
    </w:p>
    <w:p w14:paraId="5D1E0A46" w14:textId="77777777" w:rsidR="00B37E4A" w:rsidRDefault="0037207B">
      <w:pPr>
        <w:spacing w:after="150"/>
      </w:pPr>
      <w:r>
        <w:rPr>
          <w:rFonts w:ascii="Calibri" w:eastAsia="Calibri" w:hAnsi="Calibri" w:cs="Calibri"/>
          <w:sz w:val="21"/>
          <w:szCs w:val="21"/>
        </w:rPr>
        <w:t>Parents leave with calm, specific scripts for the meltdown itself, and a clear picture of what to avoid, drawn directly from evidence-based de-escalation practice.</w:t>
      </w:r>
    </w:p>
    <w:p w14:paraId="5D1E0A47" w14:textId="77777777" w:rsidR="00B37E4A" w:rsidRDefault="0037207B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t>Key teaching points</w:t>
      </w:r>
    </w:p>
    <w:p w14:paraId="5D1E0A48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Lower the sensory load first: </w:t>
      </w:r>
      <w:r>
        <w:rPr>
          <w:rFonts w:ascii="Calibri" w:eastAsia="Calibri" w:hAnsi="Calibri" w:cs="Calibri"/>
          <w:sz w:val="21"/>
          <w:szCs w:val="21"/>
        </w:rPr>
        <w:t xml:space="preserve">move to a quieter </w:t>
      </w:r>
      <w:proofErr w:type="gramStart"/>
      <w:r>
        <w:rPr>
          <w:rFonts w:ascii="Calibri" w:eastAsia="Calibri" w:hAnsi="Calibri" w:cs="Calibri"/>
          <w:sz w:val="21"/>
          <w:szCs w:val="21"/>
        </w:rPr>
        <w:t>space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if possible, dim lights, reduce noise, speak as little as possible in a soft, slow voice.</w:t>
      </w:r>
    </w:p>
    <w:p w14:paraId="5D1E0A49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Add nothing to an overloaded system: </w:t>
      </w:r>
      <w:r>
        <w:rPr>
          <w:rFonts w:ascii="Calibri" w:eastAsia="Calibri" w:hAnsi="Calibri" w:cs="Calibri"/>
          <w:sz w:val="21"/>
          <w:szCs w:val="21"/>
        </w:rPr>
        <w:t>during a meltdown, the brain's reasoning and language centres are temporarily offline. Explaining, questioning, or asking a child to "use their words" adds more input to a system that's already overloaded, it doesn't help.</w:t>
      </w:r>
    </w:p>
    <w:p w14:paraId="5D1E0A4A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Your calm is genuinely regulating: </w:t>
      </w:r>
      <w:r>
        <w:rPr>
          <w:rFonts w:ascii="Calibri" w:eastAsia="Calibri" w:hAnsi="Calibri" w:cs="Calibri"/>
          <w:sz w:val="21"/>
          <w:szCs w:val="21"/>
        </w:rPr>
        <w:t>a parent's steady presence helps a flooded nervous system settle, even when it doesn't look like it's working in the moment.</w:t>
      </w:r>
    </w:p>
    <w:p w14:paraId="5D1E0A4B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Be careful with touch: </w:t>
      </w:r>
      <w:r>
        <w:rPr>
          <w:rFonts w:ascii="Calibri" w:eastAsia="Calibri" w:hAnsi="Calibri" w:cs="Calibri"/>
          <w:sz w:val="21"/>
          <w:szCs w:val="21"/>
        </w:rPr>
        <w:t>avoid touching unless there's a safety concern, many children find unexpected touch overwhelming during a meltdown, even from a parent.</w:t>
      </w:r>
    </w:p>
    <w:p w14:paraId="5D1E0A4C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The core BRIDGE script still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applies:</w:t>
      </w:r>
      <w:proofErr w:type="gram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empathise with the feeling, not the behaviour; offer simple, safe choices rather than long explanations; keep your own tone low and unhurried.</w:t>
      </w:r>
    </w:p>
    <w:p w14:paraId="5D1E0A4D" w14:textId="77777777" w:rsidR="00B37E4A" w:rsidRDefault="0037207B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t>After the meltdown</w:t>
      </w:r>
    </w:p>
    <w:p w14:paraId="5D1E0A4E" w14:textId="77777777" w:rsidR="00B37E4A" w:rsidRDefault="0037207B">
      <w:pPr>
        <w:pBdr>
          <w:left w:val="single" w:sz="18" w:space="8" w:color="1F3A5F"/>
        </w:pBdr>
        <w:spacing w:before="100" w:after="200"/>
        <w:ind w:left="300"/>
      </w:pPr>
      <w:r>
        <w:rPr>
          <w:rFonts w:ascii="Calibri" w:eastAsia="Calibri" w:hAnsi="Calibri" w:cs="Calibri"/>
          <w:sz w:val="21"/>
          <w:szCs w:val="21"/>
        </w:rPr>
        <w:t>Recovery can take hours, and that's normal. Once your child has genuinely recovered, focus any conversation on connection, not correction. This is not the moment for a lesson about behaviour, that conversation (if needed at all) comes later, once everyone is fully regulated.</w:t>
      </w:r>
    </w:p>
    <w:p w14:paraId="5D1E0A4F" w14:textId="77777777" w:rsidR="00B37E4A" w:rsidRDefault="0037207B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t>Practical activity</w:t>
      </w:r>
    </w:p>
    <w:p w14:paraId="5D1E0A50" w14:textId="77777777" w:rsidR="00B37E4A" w:rsidRDefault="0037207B">
      <w:pPr>
        <w:spacing w:after="150"/>
      </w:pPr>
      <w:r>
        <w:rPr>
          <w:rFonts w:ascii="Calibri" w:eastAsia="Calibri" w:hAnsi="Calibri" w:cs="Calibri"/>
          <w:sz w:val="21"/>
          <w:szCs w:val="21"/>
        </w:rPr>
        <w:t>Parents write out their own 3-line script (naming the feeling, offering a choice, a calm exit phrase) using the BRIDGE "Give Consistent Language" table.</w:t>
      </w:r>
    </w:p>
    <w:p w14:paraId="5D1E0A51" w14:textId="77777777" w:rsidR="00B37E4A" w:rsidRDefault="00B37E4A">
      <w:pPr>
        <w:pBdr>
          <w:bottom w:val="single" w:sz="4" w:space="1" w:color="DDDDDD"/>
        </w:pBdr>
        <w:spacing w:before="100" w:after="100"/>
      </w:pPr>
    </w:p>
    <w:p w14:paraId="5D1E0A52" w14:textId="77777777" w:rsidR="00B37E4A" w:rsidRDefault="0037207B">
      <w:pPr>
        <w:pBdr>
          <w:bottom w:val="single" w:sz="6" w:space="6" w:color="CCCCCC"/>
        </w:pBdr>
        <w:spacing w:before="400" w:after="15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Module 4 — Tracking &amp; Adjusting (R + E)</w:t>
      </w:r>
    </w:p>
    <w:p w14:paraId="5D1E0A53" w14:textId="77777777" w:rsidR="00B37E4A" w:rsidRDefault="0037207B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t>Learning objective</w:t>
      </w:r>
    </w:p>
    <w:p w14:paraId="5D1E0A54" w14:textId="77777777" w:rsidR="00B37E4A" w:rsidRDefault="0037207B">
      <w:pPr>
        <w:spacing w:after="150"/>
      </w:pPr>
      <w:r>
        <w:rPr>
          <w:rFonts w:ascii="Calibri" w:eastAsia="Calibri" w:hAnsi="Calibri" w:cs="Calibri"/>
          <w:sz w:val="21"/>
          <w:szCs w:val="21"/>
        </w:rPr>
        <w:t>Parents leave with a simple two-week logging habit and a plan for revisiting it, so the course's strategies keep improving instead of fading after week one.</w:t>
      </w:r>
    </w:p>
    <w:p w14:paraId="5D1E0A55" w14:textId="77777777" w:rsidR="00B37E4A" w:rsidRDefault="0037207B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lastRenderedPageBreak/>
        <w:t>Key teaching points</w:t>
      </w:r>
    </w:p>
    <w:p w14:paraId="5D1E0A56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Two weeks is usually enough: </w:t>
      </w:r>
      <w:r>
        <w:rPr>
          <w:rFonts w:ascii="Calibri" w:eastAsia="Calibri" w:hAnsi="Calibri" w:cs="Calibri"/>
          <w:sz w:val="21"/>
          <w:szCs w:val="21"/>
        </w:rPr>
        <w:t>a simple log, noting time of day, what happened before, the sensory environment, sleep and food, and what the meltdown looked like, is usually enough for real patterns to emerge.</w:t>
      </w:r>
    </w:p>
    <w:p w14:paraId="5D1E0A57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Log the moment, not the memory: </w:t>
      </w:r>
      <w:r>
        <w:rPr>
          <w:rFonts w:ascii="Calibri" w:eastAsia="Calibri" w:hAnsi="Calibri" w:cs="Calibri"/>
          <w:sz w:val="21"/>
          <w:szCs w:val="21"/>
        </w:rPr>
        <w:t xml:space="preserve">jot it down as </w:t>
      </w:r>
      <w:proofErr w:type="gramStart"/>
      <w:r>
        <w:rPr>
          <w:rFonts w:ascii="Calibri" w:eastAsia="Calibri" w:hAnsi="Calibri" w:cs="Calibri"/>
          <w:sz w:val="21"/>
          <w:szCs w:val="21"/>
        </w:rPr>
        <w:t>close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to the event as possible, details fade fast.</w:t>
      </w:r>
    </w:p>
    <w:p w14:paraId="5D1E0A58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If a teacher is involved, use the same log: </w:t>
      </w:r>
      <w:r>
        <w:rPr>
          <w:rFonts w:ascii="Calibri" w:eastAsia="Calibri" w:hAnsi="Calibri" w:cs="Calibri"/>
          <w:sz w:val="21"/>
          <w:szCs w:val="21"/>
        </w:rPr>
        <w:t>this is where BRIDGE becomes a home-school method, not just a home strategy, comparing notes with a shared format shows whether the pattern is the same in both settings.</w:t>
      </w:r>
    </w:p>
    <w:p w14:paraId="5D1E0A59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 short weekly check-in: </w:t>
      </w:r>
      <w:r>
        <w:rPr>
          <w:rFonts w:ascii="Calibri" w:eastAsia="Calibri" w:hAnsi="Calibri" w:cs="Calibri"/>
          <w:sz w:val="21"/>
          <w:szCs w:val="21"/>
        </w:rPr>
        <w:t>what worked, what didn't, one adjustment. If the prevention plan from Module 2 isn't working, the first question is whether the strategy needs to change, not whether the whole approach is wrong.</w:t>
      </w:r>
    </w:p>
    <w:p w14:paraId="5D1E0A5A" w14:textId="77777777" w:rsidR="00B37E4A" w:rsidRDefault="0037207B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  <w:sz w:val="21"/>
          <w:szCs w:val="21"/>
        </w:rPr>
        <w:t>Practical activity</w:t>
      </w:r>
    </w:p>
    <w:p w14:paraId="5D1E0A5B" w14:textId="77777777" w:rsidR="00B37E4A" w:rsidRDefault="0037207B">
      <w:pPr>
        <w:spacing w:after="150"/>
      </w:pPr>
      <w:r>
        <w:rPr>
          <w:rFonts w:ascii="Calibri" w:eastAsia="Calibri" w:hAnsi="Calibri" w:cs="Calibri"/>
          <w:sz w:val="21"/>
          <w:szCs w:val="21"/>
        </w:rPr>
        <w:t>Parents start their own two-week log using the BRIDGE Behaviour Plan Template, with a calendar reminder for a Week 1 and Week 2 check-in built into the course platform.</w:t>
      </w:r>
    </w:p>
    <w:p w14:paraId="5D1E0A5C" w14:textId="77777777" w:rsidR="00B37E4A" w:rsidRDefault="00B37E4A">
      <w:pPr>
        <w:pBdr>
          <w:bottom w:val="single" w:sz="4" w:space="1" w:color="DDDDDD"/>
        </w:pBdr>
        <w:spacing w:before="100" w:after="100"/>
      </w:pPr>
    </w:p>
    <w:p w14:paraId="5D1E0A5D" w14:textId="77777777" w:rsidR="00B37E4A" w:rsidRDefault="0037207B">
      <w:pPr>
        <w:pBdr>
          <w:bottom w:val="single" w:sz="6" w:space="6" w:color="CCCCCC"/>
        </w:pBdr>
        <w:spacing w:before="400" w:after="15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Course-Level Notes</w:t>
      </w:r>
    </w:p>
    <w:p w14:paraId="5D1E0A5E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This structure deliberately follows B → D → G → R/E, skipping the standalone "I" (Identify One Shared Goal) module, since a single-parent meltdown course doesn't need the two-party </w:t>
      </w:r>
      <w:proofErr w:type="gramStart"/>
      <w:r>
        <w:rPr>
          <w:rFonts w:ascii="Calibri" w:eastAsia="Calibri" w:hAnsi="Calibri" w:cs="Calibri"/>
          <w:sz w:val="21"/>
          <w:szCs w:val="21"/>
        </w:rPr>
        <w:t>goal-setting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step the full BRIDGE Method uses for </w:t>
      </w:r>
      <w:proofErr w:type="gramStart"/>
      <w:r>
        <w:rPr>
          <w:rFonts w:ascii="Calibri" w:eastAsia="Calibri" w:hAnsi="Calibri" w:cs="Calibri"/>
          <w:sz w:val="21"/>
          <w:szCs w:val="21"/>
        </w:rPr>
        <w:t>home-school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alignment. If a teacher later joins in (via the shared log), "I" becomes relevant and can be introduced as a bonus module or upsell into full BRIDGE Coaching.</w:t>
      </w:r>
    </w:p>
    <w:p w14:paraId="5D1E0A5F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Meltdown vs. tantrum content is placed first deliberately: getting this distinction right changes how every other module is understood and applied.</w:t>
      </w:r>
    </w:p>
    <w:p w14:paraId="5D1E0A60" w14:textId="77777777" w:rsidR="00B37E4A" w:rsidRDefault="0037207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Each module's practical activity produces a piece of the BRIDGE Behaviour Plan Template, by the end of Module 4, the parent has effectively completed a real plan, not just watched four videos.</w:t>
      </w:r>
    </w:p>
    <w:p w14:paraId="5D1E0A61" w14:textId="77777777" w:rsidR="00B37E4A" w:rsidRDefault="0037207B">
      <w:pPr>
        <w:spacing w:before="300"/>
        <w:jc w:val="center"/>
      </w:pPr>
      <w:r>
        <w:rPr>
          <w:rFonts w:ascii="Calibri" w:eastAsia="Calibri" w:hAnsi="Calibri" w:cs="Calibri"/>
          <w:color w:val="999999"/>
          <w:sz w:val="18"/>
          <w:szCs w:val="18"/>
        </w:rPr>
        <w:t>MettleNest | The BRIDGE Method</w:t>
      </w:r>
    </w:p>
    <w:sectPr w:rsidR="00B37E4A"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A74F4"/>
    <w:multiLevelType w:val="hybridMultilevel"/>
    <w:tmpl w:val="F33E2422"/>
    <w:lvl w:ilvl="0" w:tplc="8E6A040A">
      <w:start w:val="1"/>
      <w:numFmt w:val="bullet"/>
      <w:lvlText w:val="•"/>
      <w:lvlJc w:val="left"/>
      <w:pPr>
        <w:ind w:left="420" w:hanging="260"/>
      </w:pPr>
    </w:lvl>
    <w:lvl w:ilvl="1" w:tplc="77A0C956">
      <w:numFmt w:val="decimal"/>
      <w:lvlText w:val=""/>
      <w:lvlJc w:val="left"/>
    </w:lvl>
    <w:lvl w:ilvl="2" w:tplc="96F85326">
      <w:numFmt w:val="decimal"/>
      <w:lvlText w:val=""/>
      <w:lvlJc w:val="left"/>
    </w:lvl>
    <w:lvl w:ilvl="3" w:tplc="6DF84B9E">
      <w:numFmt w:val="decimal"/>
      <w:lvlText w:val=""/>
      <w:lvlJc w:val="left"/>
    </w:lvl>
    <w:lvl w:ilvl="4" w:tplc="804C536A">
      <w:numFmt w:val="decimal"/>
      <w:lvlText w:val=""/>
      <w:lvlJc w:val="left"/>
    </w:lvl>
    <w:lvl w:ilvl="5" w:tplc="9710AC28">
      <w:numFmt w:val="decimal"/>
      <w:lvlText w:val=""/>
      <w:lvlJc w:val="left"/>
    </w:lvl>
    <w:lvl w:ilvl="6" w:tplc="2398D098">
      <w:numFmt w:val="decimal"/>
      <w:lvlText w:val=""/>
      <w:lvlJc w:val="left"/>
    </w:lvl>
    <w:lvl w:ilvl="7" w:tplc="0696F25E">
      <w:numFmt w:val="decimal"/>
      <w:lvlText w:val=""/>
      <w:lvlJc w:val="left"/>
    </w:lvl>
    <w:lvl w:ilvl="8" w:tplc="B4580612">
      <w:numFmt w:val="decimal"/>
      <w:lvlText w:val=""/>
      <w:lvlJc w:val="left"/>
    </w:lvl>
  </w:abstractNum>
  <w:abstractNum w:abstractNumId="1" w15:restartNumberingAfterBreak="0">
    <w:nsid w:val="64777BA7"/>
    <w:multiLevelType w:val="hybridMultilevel"/>
    <w:tmpl w:val="FC5E6E82"/>
    <w:lvl w:ilvl="0" w:tplc="EA566AF6">
      <w:start w:val="1"/>
      <w:numFmt w:val="bullet"/>
      <w:lvlText w:val="●"/>
      <w:lvlJc w:val="left"/>
      <w:pPr>
        <w:ind w:left="720" w:hanging="360"/>
      </w:pPr>
    </w:lvl>
    <w:lvl w:ilvl="1" w:tplc="B8C0399C">
      <w:start w:val="1"/>
      <w:numFmt w:val="bullet"/>
      <w:lvlText w:val="○"/>
      <w:lvlJc w:val="left"/>
      <w:pPr>
        <w:ind w:left="1440" w:hanging="360"/>
      </w:pPr>
    </w:lvl>
    <w:lvl w:ilvl="2" w:tplc="83B07164">
      <w:start w:val="1"/>
      <w:numFmt w:val="bullet"/>
      <w:lvlText w:val="■"/>
      <w:lvlJc w:val="left"/>
      <w:pPr>
        <w:ind w:left="2160" w:hanging="360"/>
      </w:pPr>
    </w:lvl>
    <w:lvl w:ilvl="3" w:tplc="82B008F2">
      <w:start w:val="1"/>
      <w:numFmt w:val="bullet"/>
      <w:lvlText w:val="●"/>
      <w:lvlJc w:val="left"/>
      <w:pPr>
        <w:ind w:left="2880" w:hanging="360"/>
      </w:pPr>
    </w:lvl>
    <w:lvl w:ilvl="4" w:tplc="9AB48632">
      <w:start w:val="1"/>
      <w:numFmt w:val="bullet"/>
      <w:lvlText w:val="○"/>
      <w:lvlJc w:val="left"/>
      <w:pPr>
        <w:ind w:left="3600" w:hanging="360"/>
      </w:pPr>
    </w:lvl>
    <w:lvl w:ilvl="5" w:tplc="9DC056F0">
      <w:start w:val="1"/>
      <w:numFmt w:val="bullet"/>
      <w:lvlText w:val="■"/>
      <w:lvlJc w:val="left"/>
      <w:pPr>
        <w:ind w:left="4320" w:hanging="360"/>
      </w:pPr>
    </w:lvl>
    <w:lvl w:ilvl="6" w:tplc="BAE8F8DA">
      <w:start w:val="1"/>
      <w:numFmt w:val="bullet"/>
      <w:lvlText w:val="●"/>
      <w:lvlJc w:val="left"/>
      <w:pPr>
        <w:ind w:left="5040" w:hanging="360"/>
      </w:pPr>
    </w:lvl>
    <w:lvl w:ilvl="7" w:tplc="5D5E6352">
      <w:start w:val="1"/>
      <w:numFmt w:val="bullet"/>
      <w:lvlText w:val="●"/>
      <w:lvlJc w:val="left"/>
      <w:pPr>
        <w:ind w:left="5760" w:hanging="360"/>
      </w:pPr>
    </w:lvl>
    <w:lvl w:ilvl="8" w:tplc="C9F65B6E">
      <w:start w:val="1"/>
      <w:numFmt w:val="bullet"/>
      <w:lvlText w:val="●"/>
      <w:lvlJc w:val="left"/>
      <w:pPr>
        <w:ind w:left="6480" w:hanging="360"/>
      </w:pPr>
    </w:lvl>
  </w:abstractNum>
  <w:num w:numId="1" w16cid:durableId="852962114">
    <w:abstractNumId w:val="1"/>
    <w:lvlOverride w:ilvl="0">
      <w:startOverride w:val="1"/>
    </w:lvlOverride>
  </w:num>
  <w:num w:numId="2" w16cid:durableId="1647934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E4A"/>
    <w:rsid w:val="0037207B"/>
    <w:rsid w:val="007C2DFC"/>
    <w:rsid w:val="00B37E4A"/>
    <w:rsid w:val="00F8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0A27"/>
  <w15:docId w15:val="{0EDA292B-1C10-4BE0-8922-3445EFC26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Jemimah Vedamonickam</dc:creator>
  <cp:lastModifiedBy>Jemimah Vedamonickam</cp:lastModifiedBy>
  <cp:revision>2</cp:revision>
  <dcterms:created xsi:type="dcterms:W3CDTF">2026-09-02T05:49:00Z</dcterms:created>
  <dcterms:modified xsi:type="dcterms:W3CDTF">2026-09-04T01:18:00Z</dcterms:modified>
</cp:coreProperties>
</file>