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Q4 Procurement Memo — Aurora Project</w:t>
      </w:r>
    </w:p>
    <w:p>
      <w:r>
        <w:t>Date: November 2026</w:t>
      </w:r>
    </w:p>
    <w:p>
      <w:r>
        <w:t>Authors: Procurement Working Group</w:t>
      </w:r>
    </w:p>
    <w:p>
      <w:pPr>
        <w:pStyle w:val="Heading1"/>
      </w:pPr>
      <w:r>
        <w:t>Background</w:t>
      </w:r>
    </w:p>
    <w:p>
      <w:r>
        <w:t>The Aurora project requires a refresh of our GPU cluster ahead of the FY27 model-training cycle. Current capacity is constrained to 1,024 H100 GPUs across two regions.</w:t>
      </w:r>
    </w:p>
    <w:p>
      <w:pPr>
        <w:pStyle w:val="Heading1"/>
      </w:pPr>
      <w:r>
        <w:t>Recommendation</w:t>
      </w:r>
    </w:p>
    <w:p>
      <w:r>
        <w:t>We recommend procuring an additional 512 H200 GPUs, distributed 320 to us-east-2 and 192 to eu-central-1. Total capital outlay: $14.8M, with a payback period of 7 months under current utilization patterns.</w:t>
      </w:r>
    </w:p>
    <w:p>
      <w:pPr>
        <w:pStyle w:val="Heading1"/>
      </w:pPr>
      <w:r>
        <w:t>Risk</w:t>
      </w:r>
    </w:p>
    <w:p>
      <w:r>
        <w:t>Supply timeline from NVIDIA suggests Q1 FY27 delivery; export-control review may add 4-6 weeks.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