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0000"/>
          <w:sz w:val="36"/>
        </w:rPr>
        <w:t>Support Screenshot Chatbot: End-to-End Pipeline &amp; Execution Guide</w:t>
      </w:r>
    </w:p>
    <w:p>
      <w:pPr>
        <w:spacing w:before="0" w:after="160"/>
      </w:pPr>
      <w:r>
        <w:rPr>
          <w:rFonts w:ascii="Calibri" w:hAnsi="Calibri"/>
          <w:i/>
          <w:color w:val="000000"/>
          <w:sz w:val="22"/>
        </w:rPr>
        <w:t>Project Overview, Step-by-Step Processing Flow, and How to Run the Application</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728"/>
            <w:tcMar>
              <w:top w:w="50" w:type="dxa"/>
              <w:bottom w:w="50" w:type="dxa"/>
              <w:left w:w="80" w:type="dxa"/>
              <w:right w:w="80" w:type="dxa"/>
            </w:tcMar>
          </w:tcPr>
          <w:p>
            <w:pPr>
              <w:spacing w:after="0"/>
            </w:pPr>
            <w:r>
              <w:rPr>
                <w:rFonts w:ascii="Calibri" w:hAnsi="Calibri"/>
                <w:b/>
                <w:color w:val="000000"/>
                <w:sz w:val="18"/>
              </w:rPr>
              <w:t>Project:</w:t>
            </w:r>
          </w:p>
        </w:tc>
        <w:tc>
          <w:tcPr>
            <w:tcW w:type="dxa" w:w="3024"/>
            <w:tcMar>
              <w:top w:w="50" w:type="dxa"/>
              <w:bottom w:w="50" w:type="dxa"/>
              <w:left w:w="80" w:type="dxa"/>
              <w:right w:w="80" w:type="dxa"/>
            </w:tcMar>
          </w:tcPr>
          <w:p>
            <w:pPr>
              <w:spacing w:after="0"/>
            </w:pPr>
            <w:r>
              <w:rPr>
                <w:rFonts w:ascii="Calibri" w:hAnsi="Calibri"/>
                <w:color w:val="000000"/>
                <w:sz w:val="18"/>
              </w:rPr>
              <w:t>Screenshot Support Assistant</w:t>
            </w:r>
          </w:p>
        </w:tc>
        <w:tc>
          <w:tcPr>
            <w:tcW w:type="dxa" w:w="1728"/>
            <w:tcMar>
              <w:top w:w="50" w:type="dxa"/>
              <w:bottom w:w="50" w:type="dxa"/>
              <w:left w:w="80" w:type="dxa"/>
              <w:right w:w="80" w:type="dxa"/>
            </w:tcMar>
          </w:tcPr>
          <w:p>
            <w:pPr>
              <w:spacing w:after="0"/>
            </w:pPr>
            <w:r>
              <w:rPr>
                <w:rFonts w:ascii="Calibri" w:hAnsi="Calibri"/>
                <w:b/>
                <w:color w:val="000000"/>
                <w:sz w:val="18"/>
              </w:rPr>
              <w:t>Date / Version:</w:t>
            </w:r>
          </w:p>
        </w:tc>
        <w:tc>
          <w:tcPr>
            <w:tcW w:type="dxa" w:w="2880"/>
            <w:tcMar>
              <w:top w:w="50" w:type="dxa"/>
              <w:bottom w:w="50" w:type="dxa"/>
              <w:left w:w="80" w:type="dxa"/>
              <w:right w:w="80" w:type="dxa"/>
            </w:tcMar>
          </w:tcPr>
          <w:p>
            <w:pPr>
              <w:spacing w:after="0"/>
            </w:pPr>
            <w:r>
              <w:rPr>
                <w:rFonts w:ascii="Calibri" w:hAnsi="Calibri"/>
                <w:color w:val="000000"/>
                <w:sz w:val="18"/>
              </w:rPr>
              <w:t>October 2026 / Release v1.0.0</w:t>
            </w:r>
          </w:p>
        </w:tc>
      </w:tr>
      <w:tr>
        <w:tc>
          <w:tcPr>
            <w:tcW w:type="dxa" w:w="1728"/>
            <w:tcMar>
              <w:top w:w="50" w:type="dxa"/>
              <w:bottom w:w="50" w:type="dxa"/>
              <w:left w:w="80" w:type="dxa"/>
              <w:right w:w="80" w:type="dxa"/>
            </w:tcMar>
          </w:tcPr>
          <w:p>
            <w:pPr>
              <w:spacing w:after="0"/>
            </w:pPr>
            <w:r>
              <w:rPr>
                <w:rFonts w:ascii="Calibri" w:hAnsi="Calibri"/>
                <w:b/>
                <w:color w:val="000000"/>
                <w:sz w:val="18"/>
              </w:rPr>
              <w:t>Technology Stack:</w:t>
            </w:r>
          </w:p>
        </w:tc>
        <w:tc>
          <w:tcPr>
            <w:tcW w:type="dxa" w:w="3024"/>
            <w:tcMar>
              <w:top w:w="50" w:type="dxa"/>
              <w:bottom w:w="50" w:type="dxa"/>
              <w:left w:w="80" w:type="dxa"/>
              <w:right w:w="80" w:type="dxa"/>
            </w:tcMar>
          </w:tcPr>
          <w:p>
            <w:pPr>
              <w:spacing w:after="0"/>
            </w:pPr>
            <w:r>
              <w:rPr>
                <w:rFonts w:ascii="Calibri" w:hAnsi="Calibri"/>
                <w:color w:val="000000"/>
                <w:sz w:val="18"/>
              </w:rPr>
              <w:t>PaddleOCR + Milvus Lite + PolyRAG</w:t>
            </w:r>
          </w:p>
        </w:tc>
        <w:tc>
          <w:tcPr>
            <w:tcW w:type="dxa" w:w="1728"/>
            <w:tcMar>
              <w:top w:w="50" w:type="dxa"/>
              <w:bottom w:w="50" w:type="dxa"/>
              <w:left w:w="80" w:type="dxa"/>
              <w:right w:w="80" w:type="dxa"/>
            </w:tcMar>
          </w:tcPr>
          <w:p>
            <w:pPr>
              <w:spacing w:after="0"/>
            </w:pPr>
            <w:r>
              <w:rPr>
                <w:rFonts w:ascii="Calibri" w:hAnsi="Calibri"/>
                <w:b/>
                <w:color w:val="000000"/>
                <w:sz w:val="18"/>
              </w:rPr>
              <w:t>Author / Organization:</w:t>
            </w:r>
          </w:p>
        </w:tc>
        <w:tc>
          <w:tcPr>
            <w:tcW w:type="dxa" w:w="2880"/>
            <w:tcMar>
              <w:top w:w="50" w:type="dxa"/>
              <w:bottom w:w="50" w:type="dxa"/>
              <w:left w:w="80" w:type="dxa"/>
              <w:right w:w="80" w:type="dxa"/>
            </w:tcMar>
          </w:tcPr>
          <w:p>
            <w:pPr>
              <w:spacing w:after="0"/>
            </w:pPr>
            <w:r>
              <w:rPr>
                <w:rFonts w:ascii="Calibri" w:hAnsi="Calibri"/>
                <w:color w:val="000000"/>
                <w:sz w:val="18"/>
              </w:rPr>
              <w:t>MaivenPoint AI Team / Quan (Leon) Phan</w:t>
            </w:r>
          </w:p>
        </w:tc>
      </w:tr>
    </w:tbl>
    <w:p>
      <w:pPr>
        <w:spacing w:after="120"/>
      </w:pPr>
    </w:p>
    <w:p>
      <w:pPr>
        <w:keepNext/>
        <w:spacing w:before="280" w:after="80"/>
      </w:pPr>
      <w:r>
        <w:rPr>
          <w:rFonts w:ascii="Calibri" w:hAnsi="Calibri"/>
          <w:b/>
          <w:color w:val="000000"/>
          <w:sz w:val="26"/>
        </w:rPr>
        <w:t>1. Project Overview &amp; What It Does</w:t>
      </w:r>
    </w:p>
    <w:p>
      <w:pPr>
        <w:spacing w:before="0" w:after="80" w:line="276" w:lineRule="auto"/>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pPr>
        <w:spacing w:before="0" w:after="80" w:line="276" w:lineRule="auto"/>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p>
      <w:pPr>
        <w:spacing w:before="80" w:after="120" w:line="276" w:lineRule="auto"/>
        <w:ind w:left="360" w:right="360"/>
      </w:pPr>
      <w:r>
        <w:rPr>
          <w:rFonts w:ascii="Calibri" w:hAnsi="Calibri"/>
          <w:b/>
          <w:color w:val="000000"/>
          <w:sz w:val="20"/>
        </w:rPr>
        <w:t xml:space="preserve">Core Architectural Principle: </w:t>
      </w:r>
      <w:r>
        <w:rPr>
          <w:rFonts w:ascii="Calibri" w:hAnsi="Calibri"/>
          <w:color w:val="000000"/>
          <w:sz w:val="20"/>
        </w:rPr>
        <w:t>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p>
      <w:pPr>
        <w:keepNext/>
        <w:spacing w:before="280" w:after="80"/>
      </w:pPr>
      <w:r>
        <w:rPr>
          <w:rFonts w:ascii="Calibri" w:hAnsi="Calibri"/>
          <w:b/>
          <w:color w:val="000000"/>
          <w:sz w:val="26"/>
        </w:rPr>
        <w:t>2. End-to-End Pipeline (Step-by-Step Flow)</w:t>
      </w:r>
    </w:p>
    <w:p>
      <w:pPr>
        <w:spacing w:before="0" w:after="80" w:line="276" w:lineRule="auto"/>
      </w:pPr>
      <w:r>
        <w:rPr>
          <w:rFonts w:ascii="Calibri" w:hAnsi="Calibri"/>
          <w:color w:val="000000"/>
          <w:sz w:val="21"/>
        </w:rPr>
        <w:t>The pipeline processes each user request through six clear, sequential stages from upload to response:</w:t>
      </w:r>
    </w:p>
    <w:p>
      <w:pPr>
        <w:keepNext/>
        <w:spacing w:before="200" w:after="60"/>
      </w:pPr>
      <w:r>
        <w:rPr>
          <w:rFonts w:ascii="Calibri" w:hAnsi="Calibri"/>
          <w:b/>
          <w:color w:val="000000"/>
          <w:sz w:val="23"/>
        </w:rPr>
        <w:t>Step 1: Image Upload &amp; Format Validation</w:t>
      </w:r>
    </w:p>
    <w:p>
      <w:pPr>
        <w:spacing w:before="0" w:after="80" w:line="276" w:lineRule="auto"/>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pPr>
        <w:keepNext/>
        <w:spacing w:before="200" w:after="60"/>
      </w:pPr>
      <w:r>
        <w:rPr>
          <w:rFonts w:ascii="Calibri" w:hAnsi="Calibri"/>
          <w:b/>
          <w:color w:val="000000"/>
          <w:sz w:val="23"/>
        </w:rPr>
        <w:t>Step 2: Image Preprocessing &amp; Local OCR Text Extraction</w:t>
      </w:r>
    </w:p>
    <w:p>
      <w:pPr>
        <w:spacing w:before="0" w:after="80" w:line="276" w:lineRule="auto"/>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dialogue.</w:t>
      </w:r>
    </w:p>
    <w:p>
      <w:pPr>
        <w:keepNext/>
        <w:spacing w:before="200" w:after="60"/>
      </w:pPr>
      <w:r>
        <w:rPr>
          <w:rFonts w:ascii="Calibri" w:hAnsi="Calibri"/>
          <w:b/>
          <w:color w:val="000000"/>
          <w:sz w:val="23"/>
        </w:rPr>
        <w:t>Step 3: Issue Information Extraction &amp; Sensitive Data Redaction</w:t>
      </w:r>
    </w:p>
    <w:p>
      <w:pPr>
        <w:spacing w:before="0" w:after="80" w:line="276" w:lineRule="auto"/>
      </w:pPr>
      <w:r>
        <w:rPr>
          <w:rFonts w:ascii="Calibri" w:hAnsi="Calibri"/>
          <w:color w:val="000000"/>
          <w:sz w:val="21"/>
        </w:rPr>
        <w:t>Once the text is extracted, a rule-based parser inspects the text stream to identify the core technical issue:</w:t>
      </w:r>
    </w:p>
    <w:p>
      <w:pPr>
        <w:pStyle w:val="ListBullet"/>
        <w:spacing w:before="0" w:after="50" w:line="276" w:lineRule="auto"/>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pPr>
        <w:pStyle w:val="ListBullet"/>
        <w:spacing w:before="0" w:after="50" w:line="276" w:lineRule="auto"/>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pPr>
        <w:pStyle w:val="ListBullet"/>
        <w:spacing w:before="0" w:after="50" w:line="276" w:lineRule="auto"/>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pPr>
        <w:pStyle w:val="ListBullet"/>
        <w:spacing w:before="0" w:after="50" w:line="276" w:lineRule="auto"/>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pPr>
        <w:spacing w:before="0" w:after="80" w:line="276" w:lineRule="auto"/>
      </w:pPr>
      <w:r>
        <w:rPr>
          <w:rFonts w:ascii="Calibri" w:hAnsi="Calibri"/>
          <w:color w:val="000000"/>
          <w:sz w:val="21"/>
        </w:rPr>
        <w:t>Privacy Protection: Before any text leaves the local machine, an automated scrubber detects and masks sensitive data. Customer email addresses become [EMAIL_REDACTED], bearer tokens become Bearer [TOKEN_REDACTED], and API keys become [API_KEY_REDACTED].</w:t>
      </w:r>
    </w:p>
    <w:p>
      <w:pPr>
        <w:keepNext/>
        <w:spacing w:before="200" w:after="60"/>
      </w:pPr>
      <w:r>
        <w:rPr>
          <w:rFonts w:ascii="Calibri" w:hAnsi="Calibri"/>
          <w:b/>
          <w:color w:val="000000"/>
          <w:sz w:val="23"/>
        </w:rPr>
        <w:t>Step 4: Vector Knowledge Retrieval from Milvus Lite</w:t>
      </w:r>
    </w:p>
    <w:p>
      <w:pPr>
        <w:spacing w:before="0" w:after="80" w:line="276" w:lineRule="auto"/>
      </w:pPr>
      <w:r>
        <w:rPr>
          <w:rFonts w:ascii="Calibri" w:hAnsi="Calibri"/>
          <w:color w:val="000000"/>
          <w:sz w:val="21"/>
        </w:rPr>
        <w:t>The sanitized diagnostic summary is converted into a vector embedding using OpenAI's dense embedding model (text-embedding-3-small). The system then searches against Milvus Lite, an embedded local vector database containing 12 pre-loaded enterprise support articles (covering authentication, database connection issues, network timeouts, storage limits, and server errors).</w:t>
      </w:r>
    </w:p>
    <w:p>
      <w:pPr>
        <w:spacing w:before="0" w:after="80" w:line="276" w:lineRule="auto"/>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pPr>
        <w:keepNext/>
        <w:spacing w:before="200" w:after="60"/>
      </w:pPr>
      <w:r>
        <w:rPr>
          <w:rFonts w:ascii="Calibri" w:hAnsi="Calibri"/>
          <w:b/>
          <w:color w:val="000000"/>
          <w:sz w:val="23"/>
        </w:rPr>
        <w:t>Step 5: Grounded Response Generation &amp; Anti-Hallucination Guardrail</w:t>
      </w:r>
    </w:p>
    <w:p>
      <w:pPr>
        <w:spacing w:before="0" w:after="80" w:line="276" w:lineRule="auto"/>
      </w:pPr>
      <w:r>
        <w:rPr>
          <w:rFonts w:ascii="Calibri" w:hAnsi="Calibri"/>
          <w:color w:val="000000"/>
          <w:sz w:val="21"/>
        </w:rPr>
        <w:t>Depending on the retrieval confidence score, the system takes one of two deterministic paths:</w:t>
      </w:r>
    </w:p>
    <w:p>
      <w:pPr>
        <w:pStyle w:val="ListBullet"/>
        <w:spacing w:before="0" w:after="50" w:line="276" w:lineRule="auto"/>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pPr>
        <w:pStyle w:val="ListBullet"/>
        <w:spacing w:before="0" w:after="50" w:line="276" w:lineRule="auto"/>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pPr>
        <w:keepNext/>
        <w:spacing w:before="200" w:after="60"/>
      </w:pPr>
      <w:r>
        <w:rPr>
          <w:rFonts w:ascii="Calibri" w:hAnsi="Calibri"/>
          <w:b/>
          <w:color w:val="000000"/>
          <w:sz w:val="23"/>
        </w:rPr>
        <w:t>Step 6: User Interface Presentation &amp; Debug Inspection</w:t>
      </w:r>
    </w:p>
    <w:p>
      <w:pPr>
        <w:spacing w:before="0" w:after="80" w:line="276" w:lineRule="auto"/>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pPr>
        <w:keepNext/>
        <w:spacing w:before="280" w:after="80"/>
      </w:pPr>
      <w:r>
        <w:rPr>
          <w:rFonts w:ascii="Calibri" w:hAnsi="Calibri"/>
          <w:b/>
          <w:color w:val="000000"/>
          <w:sz w:val="26"/>
        </w:rPr>
        <w:t>3. Summary of Pipeline Stages</w:t>
      </w:r>
    </w:p>
    <w:p>
      <w:pPr>
        <w:spacing w:before="0" w:after="80" w:line="276" w:lineRule="auto"/>
      </w:pPr>
      <w:r>
        <w:rPr>
          <w:rFonts w:ascii="Calibri" w:hAnsi="Calibri"/>
          <w:color w:val="000000"/>
          <w:sz w:val="21"/>
        </w:rPr>
        <w:t>The table below summarizes what each stage of the pipeline receives, what action it performs, and what output it produces:</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440"/>
            <w:tcMar>
              <w:top w:w="70" w:type="dxa"/>
              <w:bottom w:w="70" w:type="dxa"/>
              <w:left w:w="80" w:type="dxa"/>
              <w:right w:w="80" w:type="dxa"/>
            </w:tcMar>
          </w:tcPr>
          <w:p>
            <w:pPr>
              <w:spacing w:after="0"/>
            </w:pPr>
            <w:r>
              <w:rPr>
                <w:rFonts w:ascii="Calibri" w:hAnsi="Calibri"/>
                <w:b/>
                <w:color w:val="000000"/>
                <w:sz w:val="19"/>
              </w:rPr>
              <w:t>Stage</w:t>
            </w:r>
          </w:p>
        </w:tc>
        <w:tc>
          <w:tcPr>
            <w:tcW w:type="dxa" w:w="2016"/>
            <w:tcMar>
              <w:top w:w="70" w:type="dxa"/>
              <w:bottom w:w="70" w:type="dxa"/>
              <w:left w:w="80" w:type="dxa"/>
              <w:right w:w="80" w:type="dxa"/>
            </w:tcMar>
          </w:tcPr>
          <w:p>
            <w:pPr>
              <w:spacing w:after="0"/>
            </w:pPr>
            <w:r>
              <w:rPr>
                <w:rFonts w:ascii="Calibri" w:hAnsi="Calibri"/>
                <w:b/>
                <w:color w:val="000000"/>
                <w:sz w:val="19"/>
              </w:rPr>
              <w:t>Input</w:t>
            </w:r>
          </w:p>
        </w:tc>
        <w:tc>
          <w:tcPr>
            <w:tcW w:type="dxa" w:w="3888"/>
            <w:tcMar>
              <w:top w:w="70" w:type="dxa"/>
              <w:bottom w:w="70" w:type="dxa"/>
              <w:left w:w="80" w:type="dxa"/>
              <w:right w:w="80" w:type="dxa"/>
            </w:tcMar>
          </w:tcPr>
          <w:p>
            <w:pPr>
              <w:spacing w:after="0"/>
            </w:pPr>
            <w:r>
              <w:rPr>
                <w:rFonts w:ascii="Calibri" w:hAnsi="Calibri"/>
                <w:b/>
                <w:color w:val="000000"/>
                <w:sz w:val="19"/>
              </w:rPr>
              <w:t>What It Does</w:t>
            </w:r>
          </w:p>
        </w:tc>
        <w:tc>
          <w:tcPr>
            <w:tcW w:type="dxa" w:w="2016"/>
            <w:tcMar>
              <w:top w:w="70" w:type="dxa"/>
              <w:bottom w:w="70" w:type="dxa"/>
              <w:left w:w="80" w:type="dxa"/>
              <w:right w:w="80" w:type="dxa"/>
            </w:tcMar>
          </w:tcPr>
          <w:p>
            <w:pPr>
              <w:spacing w:after="0"/>
            </w:pPr>
            <w:r>
              <w:rPr>
                <w:rFonts w:ascii="Calibri" w:hAnsi="Calibri"/>
                <w:b/>
                <w:color w:val="000000"/>
                <w:sz w:val="19"/>
              </w:rPr>
              <w:t>Output</w:t>
            </w:r>
          </w:p>
        </w:tc>
      </w:tr>
      <w:tr>
        <w:tc>
          <w:tcPr>
            <w:tcW w:type="dxa" w:w="1440"/>
            <w:tcMar>
              <w:top w:w="50" w:type="dxa"/>
              <w:bottom w:w="50" w:type="dxa"/>
              <w:left w:w="80" w:type="dxa"/>
              <w:right w:w="80" w:type="dxa"/>
            </w:tcMar>
          </w:tcPr>
          <w:p>
            <w:pPr>
              <w:spacing w:after="0"/>
            </w:pPr>
            <w:r>
              <w:rPr>
                <w:rFonts w:ascii="Calibri" w:hAnsi="Calibri"/>
                <w:b/>
                <w:color w:val="000000"/>
                <w:sz w:val="18"/>
              </w:rPr>
              <w:t>1. Ingest</w:t>
            </w:r>
          </w:p>
        </w:tc>
        <w:tc>
          <w:tcPr>
            <w:tcW w:type="dxa" w:w="2016"/>
            <w:tcMar>
              <w:top w:w="50" w:type="dxa"/>
              <w:bottom w:w="50" w:type="dxa"/>
              <w:left w:w="80" w:type="dxa"/>
              <w:right w:w="80" w:type="dxa"/>
            </w:tcMar>
          </w:tcPr>
          <w:p>
            <w:pPr>
              <w:spacing w:after="0"/>
            </w:pPr>
            <w:r>
              <w:rPr>
                <w:rFonts w:ascii="Calibri" w:hAnsi="Calibri"/>
                <w:color w:val="000000"/>
                <w:sz w:val="18"/>
              </w:rPr>
              <w:t>Image file (PNG/JPG)</w:t>
            </w:r>
          </w:p>
        </w:tc>
        <w:tc>
          <w:tcPr>
            <w:tcW w:type="dxa" w:w="3888"/>
            <w:tcMar>
              <w:top w:w="50" w:type="dxa"/>
              <w:bottom w:w="50" w:type="dxa"/>
              <w:left w:w="80" w:type="dxa"/>
              <w:right w:w="80" w:type="dxa"/>
            </w:tcMar>
          </w:tcPr>
          <w:p>
            <w:pPr>
              <w:spacing w:after="0"/>
            </w:pPr>
            <w:r>
              <w:rPr>
                <w:rFonts w:ascii="Calibri" w:hAnsi="Calibri"/>
                <w:color w:val="000000"/>
                <w:sz w:val="18"/>
              </w:rPr>
              <w:t>Validates file header, checks integrity, and decodes image into memory.</w:t>
            </w:r>
          </w:p>
        </w:tc>
        <w:tc>
          <w:tcPr>
            <w:tcW w:type="dxa" w:w="2016"/>
            <w:tcMar>
              <w:top w:w="50" w:type="dxa"/>
              <w:bottom w:w="50" w:type="dxa"/>
              <w:left w:w="80" w:type="dxa"/>
              <w:right w:w="80" w:type="dxa"/>
            </w:tcMar>
          </w:tcPr>
          <w:p>
            <w:pPr>
              <w:spacing w:after="0"/>
            </w:pPr>
            <w:r>
              <w:rPr>
                <w:rFonts w:ascii="Calibri" w:hAnsi="Calibri"/>
                <w:color w:val="000000"/>
                <w:sz w:val="18"/>
              </w:rPr>
              <w:t>Image array in memory</w:t>
            </w:r>
          </w:p>
        </w:tc>
      </w:tr>
      <w:tr>
        <w:tc>
          <w:tcPr>
            <w:tcW w:type="dxa" w:w="1440"/>
            <w:tcMar>
              <w:top w:w="50" w:type="dxa"/>
              <w:bottom w:w="50" w:type="dxa"/>
              <w:left w:w="80" w:type="dxa"/>
              <w:right w:w="80" w:type="dxa"/>
            </w:tcMar>
          </w:tcPr>
          <w:p>
            <w:pPr>
              <w:spacing w:after="0"/>
            </w:pPr>
            <w:r>
              <w:rPr>
                <w:rFonts w:ascii="Calibri" w:hAnsi="Calibri"/>
                <w:b/>
                <w:color w:val="000000"/>
                <w:sz w:val="18"/>
              </w:rPr>
              <w:t>2. OCR</w:t>
            </w:r>
          </w:p>
        </w:tc>
        <w:tc>
          <w:tcPr>
            <w:tcW w:type="dxa" w:w="2016"/>
            <w:tcMar>
              <w:top w:w="50" w:type="dxa"/>
              <w:bottom w:w="50" w:type="dxa"/>
              <w:left w:w="80" w:type="dxa"/>
              <w:right w:w="80" w:type="dxa"/>
            </w:tcMar>
          </w:tcPr>
          <w:p>
            <w:pPr>
              <w:spacing w:after="0"/>
            </w:pPr>
            <w:r>
              <w:rPr>
                <w:rFonts w:ascii="Calibri" w:hAnsi="Calibri"/>
                <w:color w:val="000000"/>
                <w:sz w:val="18"/>
              </w:rPr>
              <w:t>Image array</w:t>
            </w:r>
          </w:p>
        </w:tc>
        <w:tc>
          <w:tcPr>
            <w:tcW w:type="dxa" w:w="3888"/>
            <w:tcMar>
              <w:top w:w="50" w:type="dxa"/>
              <w:bottom w:w="50" w:type="dxa"/>
              <w:left w:w="80" w:type="dxa"/>
              <w:right w:w="80" w:type="dxa"/>
            </w:tcMar>
          </w:tcPr>
          <w:p>
            <w:pPr>
              <w:spacing w:after="0"/>
            </w:pPr>
            <w:r>
              <w:rPr>
                <w:rFonts w:ascii="Calibri" w:hAnsi="Calibri"/>
                <w:color w:val="000000"/>
                <w:sz w:val="18"/>
              </w:rPr>
              <w:t>Applies contrast preprocessing and extracts text lines in visual reading order.</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r>
      <w:tr>
        <w:tc>
          <w:tcPr>
            <w:tcW w:type="dxa" w:w="1440"/>
            <w:tcMar>
              <w:top w:w="50" w:type="dxa"/>
              <w:bottom w:w="50" w:type="dxa"/>
              <w:left w:w="80" w:type="dxa"/>
              <w:right w:w="80" w:type="dxa"/>
            </w:tcMar>
          </w:tcPr>
          <w:p>
            <w:pPr>
              <w:spacing w:after="0"/>
            </w:pPr>
            <w:r>
              <w:rPr>
                <w:rFonts w:ascii="Calibri" w:hAnsi="Calibri"/>
                <w:b/>
                <w:color w:val="000000"/>
                <w:sz w:val="18"/>
              </w:rPr>
              <w:t>3. Parse</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c>
          <w:tcPr>
            <w:tcW w:type="dxa" w:w="3888"/>
            <w:tcMar>
              <w:top w:w="50" w:type="dxa"/>
              <w:bottom w:w="50" w:type="dxa"/>
              <w:left w:w="80" w:type="dxa"/>
              <w:right w:w="80" w:type="dxa"/>
            </w:tcMar>
          </w:tcPr>
          <w:p>
            <w:pPr>
              <w:spacing w:after="0"/>
            </w:pPr>
            <w:r>
              <w:rPr>
                <w:rFonts w:ascii="Calibri" w:hAnsi="Calibri"/>
                <w:color w:val="000000"/>
                <w:sz w:val="18"/>
              </w:rPr>
              <w:t>Extracts error codes and messages via regex; masks emails, tokens, and keys.</w:t>
            </w:r>
          </w:p>
        </w:tc>
        <w:tc>
          <w:tcPr>
            <w:tcW w:type="dxa" w:w="2016"/>
            <w:tcMar>
              <w:top w:w="50" w:type="dxa"/>
              <w:bottom w:w="50" w:type="dxa"/>
              <w:left w:w="80" w:type="dxa"/>
              <w:right w:w="80" w:type="dxa"/>
            </w:tcMar>
          </w:tcPr>
          <w:p>
            <w:pPr>
              <w:spacing w:after="0"/>
            </w:pPr>
            <w:r>
              <w:rPr>
                <w:rFonts w:ascii="Calibri" w:hAnsi="Calibri"/>
                <w:color w:val="000000"/>
                <w:sz w:val="18"/>
              </w:rPr>
              <w:t>Sanitized diagnostic context</w:t>
            </w:r>
          </w:p>
        </w:tc>
      </w:tr>
      <w:tr>
        <w:tc>
          <w:tcPr>
            <w:tcW w:type="dxa" w:w="1440"/>
            <w:tcMar>
              <w:top w:w="50" w:type="dxa"/>
              <w:bottom w:w="50" w:type="dxa"/>
              <w:left w:w="80" w:type="dxa"/>
              <w:right w:w="80" w:type="dxa"/>
            </w:tcMar>
          </w:tcPr>
          <w:p>
            <w:pPr>
              <w:spacing w:after="0"/>
            </w:pPr>
            <w:r>
              <w:rPr>
                <w:rFonts w:ascii="Calibri" w:hAnsi="Calibri"/>
                <w:b/>
                <w:color w:val="000000"/>
                <w:sz w:val="18"/>
              </w:rPr>
              <w:t>4. Search</w:t>
            </w:r>
          </w:p>
        </w:tc>
        <w:tc>
          <w:tcPr>
            <w:tcW w:type="dxa" w:w="2016"/>
            <w:tcMar>
              <w:top w:w="50" w:type="dxa"/>
              <w:bottom w:w="50" w:type="dxa"/>
              <w:left w:w="80" w:type="dxa"/>
              <w:right w:w="80" w:type="dxa"/>
            </w:tcMar>
          </w:tcPr>
          <w:p>
            <w:pPr>
              <w:spacing w:after="0"/>
            </w:pPr>
            <w:r>
              <w:rPr>
                <w:rFonts w:ascii="Calibri" w:hAnsi="Calibri"/>
                <w:color w:val="000000"/>
                <w:sz w:val="18"/>
              </w:rPr>
              <w:t>Sanitized context</w:t>
            </w:r>
          </w:p>
        </w:tc>
        <w:tc>
          <w:tcPr>
            <w:tcW w:type="dxa" w:w="3888"/>
            <w:tcMar>
              <w:top w:w="50" w:type="dxa"/>
              <w:bottom w:w="50" w:type="dxa"/>
              <w:left w:w="80" w:type="dxa"/>
              <w:right w:w="80" w:type="dxa"/>
            </w:tcMar>
          </w:tcPr>
          <w:p>
            <w:pPr>
              <w:spacing w:after="0"/>
            </w:pPr>
            <w:r>
              <w:rPr>
                <w:rFonts w:ascii="Calibri" w:hAnsi="Calibri"/>
                <w:color w:val="000000"/>
                <w:sz w:val="18"/>
              </w:rPr>
              <w:t>Embeds text into a 384-d vector and searches Milvus Lite with code match bonus.</w:t>
            </w:r>
          </w:p>
        </w:tc>
        <w:tc>
          <w:tcPr>
            <w:tcW w:type="dxa" w:w="2016"/>
            <w:tcMar>
              <w:top w:w="50" w:type="dxa"/>
              <w:bottom w:w="50" w:type="dxa"/>
              <w:left w:w="80" w:type="dxa"/>
              <w:right w:w="80" w:type="dxa"/>
            </w:tcMar>
          </w:tcPr>
          <w:p>
            <w:pPr>
              <w:spacing w:after="0"/>
            </w:pPr>
            <w:r>
              <w:rPr>
                <w:rFonts w:ascii="Calibri" w:hAnsi="Calibri"/>
                <w:color w:val="000000"/>
                <w:sz w:val="18"/>
              </w:rPr>
              <w:t>Top-ranked KB articles</w:t>
            </w:r>
          </w:p>
        </w:tc>
      </w:tr>
      <w:tr>
        <w:tc>
          <w:tcPr>
            <w:tcW w:type="dxa" w:w="1440"/>
            <w:tcMar>
              <w:top w:w="50" w:type="dxa"/>
              <w:bottom w:w="50" w:type="dxa"/>
              <w:left w:w="80" w:type="dxa"/>
              <w:right w:w="80" w:type="dxa"/>
            </w:tcMar>
          </w:tcPr>
          <w:p>
            <w:pPr>
              <w:spacing w:after="0"/>
            </w:pPr>
            <w:r>
              <w:rPr>
                <w:rFonts w:ascii="Calibri" w:hAnsi="Calibri"/>
                <w:b/>
                <w:color w:val="000000"/>
                <w:sz w:val="18"/>
              </w:rPr>
              <w:t>5. Guard</w:t>
            </w:r>
          </w:p>
        </w:tc>
        <w:tc>
          <w:tcPr>
            <w:tcW w:type="dxa" w:w="2016"/>
            <w:tcMar>
              <w:top w:w="50" w:type="dxa"/>
              <w:bottom w:w="50" w:type="dxa"/>
              <w:left w:w="80" w:type="dxa"/>
              <w:right w:w="80" w:type="dxa"/>
            </w:tcMar>
          </w:tcPr>
          <w:p>
            <w:pPr>
              <w:spacing w:after="0"/>
            </w:pPr>
            <w:r>
              <w:rPr>
                <w:rFonts w:ascii="Calibri" w:hAnsi="Calibri"/>
                <w:color w:val="000000"/>
                <w:sz w:val="18"/>
              </w:rPr>
              <w:t>Ranked articles</w:t>
            </w:r>
          </w:p>
        </w:tc>
        <w:tc>
          <w:tcPr>
            <w:tcW w:type="dxa" w:w="3888"/>
            <w:tcMar>
              <w:top w:w="50" w:type="dxa"/>
              <w:bottom w:w="50" w:type="dxa"/>
              <w:left w:w="80" w:type="dxa"/>
              <w:right w:w="80" w:type="dxa"/>
            </w:tcMar>
          </w:tcPr>
          <w:p>
            <w:pPr>
              <w:spacing w:after="0"/>
            </w:pPr>
            <w:r>
              <w:rPr>
                <w:rFonts w:ascii="Calibri" w:hAnsi="Calibri"/>
                <w:color w:val="000000"/>
                <w:sz w:val="18"/>
              </w:rPr>
              <w:t>Checks if top confidence score &gt;= 0.45; triggers safe fallback if low.</w:t>
            </w:r>
          </w:p>
        </w:tc>
        <w:tc>
          <w:tcPr>
            <w:tcW w:type="dxa" w:w="2016"/>
            <w:tcMar>
              <w:top w:w="50" w:type="dxa"/>
              <w:bottom w:w="50" w:type="dxa"/>
              <w:left w:w="80" w:type="dxa"/>
              <w:right w:w="80" w:type="dxa"/>
            </w:tcMar>
          </w:tcPr>
          <w:p>
            <w:pPr>
              <w:spacing w:after="0"/>
            </w:pPr>
            <w:r>
              <w:rPr>
                <w:rFonts w:ascii="Calibri" w:hAnsi="Calibri"/>
                <w:color w:val="000000"/>
                <w:sz w:val="18"/>
              </w:rPr>
              <w:t>Execution decision</w:t>
            </w:r>
          </w:p>
        </w:tc>
      </w:tr>
      <w:tr>
        <w:tc>
          <w:tcPr>
            <w:tcW w:type="dxa" w:w="1440"/>
            <w:tcMar>
              <w:top w:w="50" w:type="dxa"/>
              <w:bottom w:w="50" w:type="dxa"/>
              <w:left w:w="80" w:type="dxa"/>
              <w:right w:w="80" w:type="dxa"/>
            </w:tcMar>
          </w:tcPr>
          <w:p>
            <w:pPr>
              <w:spacing w:after="0"/>
            </w:pPr>
            <w:r>
              <w:rPr>
                <w:rFonts w:ascii="Calibri" w:hAnsi="Calibri"/>
                <w:b/>
                <w:color w:val="000000"/>
                <w:sz w:val="18"/>
              </w:rPr>
              <w:t>6. Solve</w:t>
            </w:r>
          </w:p>
        </w:tc>
        <w:tc>
          <w:tcPr>
            <w:tcW w:type="dxa" w:w="2016"/>
            <w:tcMar>
              <w:top w:w="50" w:type="dxa"/>
              <w:bottom w:w="50" w:type="dxa"/>
              <w:left w:w="80" w:type="dxa"/>
              <w:right w:w="80" w:type="dxa"/>
            </w:tcMar>
          </w:tcPr>
          <w:p>
            <w:pPr>
              <w:spacing w:after="0"/>
            </w:pPr>
            <w:r>
              <w:rPr>
                <w:rFonts w:ascii="Calibri" w:hAnsi="Calibri"/>
                <w:color w:val="000000"/>
                <w:sz w:val="18"/>
              </w:rPr>
              <w:t>Context + Query</w:t>
            </w:r>
          </w:p>
        </w:tc>
        <w:tc>
          <w:tcPr>
            <w:tcW w:type="dxa" w:w="3888"/>
            <w:tcMar>
              <w:top w:w="50" w:type="dxa"/>
              <w:bottom w:w="50" w:type="dxa"/>
              <w:left w:w="80" w:type="dxa"/>
              <w:right w:w="80" w:type="dxa"/>
            </w:tcMar>
          </w:tcPr>
          <w:p>
            <w:pPr>
              <w:spacing w:after="0"/>
            </w:pPr>
            <w:r>
              <w:rPr>
                <w:rFonts w:ascii="Calibri" w:hAnsi="Calibri"/>
                <w:color w:val="000000"/>
                <w:sz w:val="18"/>
              </w:rPr>
              <w:t>Drafts grounded 5-part troubleshooting instructions citing source documents.</w:t>
            </w:r>
          </w:p>
        </w:tc>
        <w:tc>
          <w:tcPr>
            <w:tcW w:type="dxa" w:w="2016"/>
            <w:tcMar>
              <w:top w:w="50" w:type="dxa"/>
              <w:bottom w:w="50" w:type="dxa"/>
              <w:left w:w="80" w:type="dxa"/>
              <w:right w:w="80" w:type="dxa"/>
            </w:tcMar>
          </w:tcPr>
          <w:p>
            <w:pPr>
              <w:spacing w:after="0"/>
            </w:pPr>
            <w:r>
              <w:rPr>
                <w:rFonts w:ascii="Calibri" w:hAnsi="Calibri"/>
                <w:color w:val="000000"/>
                <w:sz w:val="18"/>
              </w:rPr>
              <w:t>Customer-ready solution</w:t>
            </w:r>
          </w:p>
        </w:tc>
      </w:tr>
    </w:tbl>
    <w:p>
      <w:pPr>
        <w:spacing w:after="80"/>
      </w:pPr>
    </w:p>
    <w:p>
      <w:pPr>
        <w:keepNext/>
        <w:spacing w:before="280" w:after="80"/>
      </w:pPr>
      <w:r>
        <w:rPr>
          <w:rFonts w:ascii="Calibri" w:hAnsi="Calibri"/>
          <w:b/>
          <w:color w:val="000000"/>
          <w:sz w:val="26"/>
        </w:rPr>
        <w:t>4. Why the Pipeline Is Designed This Way</w:t>
      </w:r>
    </w:p>
    <w:p>
      <w:pPr>
        <w:spacing w:before="0" w:after="80" w:line="276" w:lineRule="auto"/>
      </w:pPr>
      <w:r>
        <w:rPr>
          <w:rFonts w:ascii="Calibri" w:hAnsi="Calibri"/>
          <w:color w:val="000000"/>
          <w:sz w:val="21"/>
        </w:rPr>
        <w:t>The pipeline choices prioritize four critical engineering goals: accuracy, privacy, zero infrastructure, and low latency:</w:t>
      </w:r>
    </w:p>
    <w:p>
      <w:pPr>
        <w:pStyle w:val="ListBullet"/>
        <w:spacing w:before="0" w:after="50" w:line="276" w:lineRule="auto"/>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pPr>
        <w:pStyle w:val="ListBullet"/>
        <w:spacing w:before="0" w:after="50" w:line="276" w:lineRule="auto"/>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pPr>
        <w:pStyle w:val="ListBullet"/>
        <w:spacing w:before="0" w:after="50" w:line="276" w:lineRule="auto"/>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pPr>
        <w:pStyle w:val="ListBullet"/>
        <w:spacing w:before="0" w:after="50" w:line="276" w:lineRule="auto"/>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pPr>
        <w:keepNext/>
        <w:spacing w:before="280" w:after="80"/>
      </w:pPr>
      <w:r>
        <w:rPr>
          <w:rFonts w:ascii="Calibri" w:hAnsi="Calibri"/>
          <w:b/>
          <w:color w:val="000000"/>
          <w:sz w:val="26"/>
        </w:rPr>
        <w:t>5. How to Run This Project</w:t>
      </w:r>
    </w:p>
    <w:p>
      <w:pPr>
        <w:spacing w:before="0" w:after="80" w:line="276" w:lineRule="auto"/>
      </w:pPr>
      <w:r>
        <w:rPr>
          <w:rFonts w:ascii="Calibri" w:hAnsi="Calibri"/>
          <w:color w:val="000000"/>
          <w:sz w:val="21"/>
        </w:rPr>
        <w:t>The project is packaged with a unified CLI entrypoint (main.py) and a FastAPI web server, enabling straightforward setup and execution.</w:t>
      </w:r>
    </w:p>
    <w:p>
      <w:pPr>
        <w:keepNext/>
        <w:spacing w:before="200" w:after="60"/>
      </w:pPr>
      <w:r>
        <w:rPr>
          <w:rFonts w:ascii="Calibri" w:hAnsi="Calibri"/>
          <w:b/>
          <w:color w:val="000000"/>
          <w:sz w:val="23"/>
        </w:rPr>
        <w:t>5.1 Prerequisites &amp; Environment Setup</w:t>
      </w:r>
    </w:p>
    <w:p>
      <w:pPr>
        <w:spacing w:before="0" w:after="80" w:line="276" w:lineRule="auto"/>
      </w:pPr>
      <w:r>
        <w:rPr>
          <w:rFonts w:ascii="Calibri" w:hAnsi="Calibri"/>
          <w:color w:val="000000"/>
          <w:sz w:val="21"/>
        </w:rPr>
        <w:t>1. Clone the repository and enter the project directory:</w:t>
      </w:r>
    </w:p>
    <w:p>
      <w:pPr>
        <w:spacing w:before="40" w:after="80"/>
        <w:ind w:left="360"/>
      </w:pPr>
      <w:r>
        <w:rPr>
          <w:rFonts w:ascii="Consolas" w:hAnsi="Consolas"/>
          <w:color w:val="000000"/>
          <w:sz w:val="19"/>
        </w:rPr>
        <w:t>git clone https://github.com/NVKQ2022/MVP.git</w:t>
        <w:br/>
        <w:t>cd MVP/AI/ChatbotOCR</w:t>
      </w:r>
    </w:p>
    <w:p>
      <w:pPr>
        <w:spacing w:before="0" w:after="80" w:line="276" w:lineRule="auto"/>
      </w:pPr>
      <w:r>
        <w:rPr>
          <w:rFonts w:ascii="Calibri" w:hAnsi="Calibri"/>
          <w:color w:val="000000"/>
          <w:sz w:val="21"/>
        </w:rPr>
        <w:t>2. Create and activate a Python virtual environment (Python 3.10+ or 3.12):</w:t>
      </w:r>
    </w:p>
    <w:p>
      <w:pPr>
        <w:spacing w:before="40" w:after="80"/>
        <w:ind w:left="360"/>
      </w:pPr>
      <w:r>
        <w:rPr>
          <w:rFonts w:ascii="Consolas" w:hAnsi="Consolas"/>
          <w:color w:val="000000"/>
          <w:sz w:val="19"/>
        </w:rPr>
        <w:t>python3 -m venv venv</w:t>
        <w:br/>
        <w:t>source venv/bin/activate    # On Windows: venv\Scripts\activate</w:t>
      </w:r>
    </w:p>
    <w:p>
      <w:pPr>
        <w:spacing w:before="0" w:after="80" w:line="276" w:lineRule="auto"/>
      </w:pPr>
      <w:r>
        <w:rPr>
          <w:rFonts w:ascii="Calibri" w:hAnsi="Calibri"/>
          <w:color w:val="000000"/>
          <w:sz w:val="21"/>
        </w:rPr>
        <w:t>3. Install the project dependencies:</w:t>
      </w:r>
    </w:p>
    <w:p>
      <w:pPr>
        <w:spacing w:before="40" w:after="80"/>
        <w:ind w:left="360"/>
      </w:pPr>
      <w:r>
        <w:rPr>
          <w:rFonts w:ascii="Consolas" w:hAnsi="Consolas"/>
          <w:color w:val="000000"/>
          <w:sz w:val="19"/>
        </w:rPr>
        <w:t>pip install -r requirements.txt</w:t>
      </w:r>
    </w:p>
    <w:p>
      <w:pPr>
        <w:spacing w:before="0" w:after="80" w:line="276" w:lineRule="auto"/>
      </w:pPr>
      <w:r>
        <w:rPr>
          <w:rFonts w:ascii="Calibri" w:hAnsi="Calibri"/>
          <w:color w:val="000000"/>
          <w:sz w:val="21"/>
        </w:rPr>
        <w:t>4. Configure environment variables (.env file):</w:t>
      </w:r>
    </w:p>
    <w:p>
      <w:pPr>
        <w:spacing w:before="0" w:after="80" w:line="276" w:lineRule="auto"/>
      </w:pPr>
      <w:r>
        <w:rPr>
          <w:rFonts w:ascii="Calibri" w:hAnsi="Calibri"/>
          <w:color w:val="000000"/>
          <w:sz w:val="21"/>
        </w:rPr>
        <w:t>Create the local environment configuration file by copying .env.example to .env:</w:t>
      </w:r>
    </w:p>
    <w:p>
      <w:pPr>
        <w:spacing w:before="40" w:after="80"/>
        <w:ind w:left="360"/>
      </w:pPr>
      <w:r>
        <w:rPr>
          <w:rFonts w:ascii="Consolas" w:hAnsi="Consolas"/>
          <w:color w:val="000000"/>
          <w:sz w:val="19"/>
        </w:rPr>
        <w:t>cp .env.example .env</w:t>
        <w:br/>
        <w:t># Edit .env with your environment keys:</w:t>
        <w:br/>
        <w:t>OPENAI_API_KEY="your-api-key"</w:t>
        <w:br/>
        <w:t>OPENAI_BASE_URL="https://your-resource.openai.azure.com/openai/v1"</w:t>
        <w:br/>
        <w:t>MODEL_NAME="gpt-4o-mini"</w:t>
        <w:br/>
        <w:t>EMBEDDING_MODEL="text-embedding-3-small"</w:t>
        <w:br/>
        <w:t>VECTOR_STORE_TYPE="milvus_lite"</w:t>
        <w:br/>
        <w:t>MILVUS_DB_PATH="./data/milvus_lite.db"</w:t>
      </w:r>
    </w:p>
    <w:p>
      <w:pPr>
        <w:spacing w:before="0" w:after="80" w:line="276" w:lineRule="auto"/>
      </w:pPr>
      <w:r>
        <w:rPr>
          <w:rFonts w:ascii="Calibri" w:hAnsi="Calibri"/>
          <w:color w:val="000000"/>
          <w:sz w:val="21"/>
        </w:rPr>
        <w:t>5. (Optional) Ingest or Re-index the Knowledge Base:</w:t>
      </w:r>
    </w:p>
    <w:p>
      <w:pPr>
        <w:spacing w:before="0" w:after="80" w:line="276" w:lineRule="auto"/>
      </w:pPr>
      <w:r>
        <w:rPr>
          <w:rFonts w:ascii="Calibri" w:hAnsi="Calibri"/>
          <w:color w:val="000000"/>
          <w:sz w:val="21"/>
        </w:rPr>
        <w:t>The database is already pre-indexed in data/milvus_lite.db and automatically self-heals if empty. To manually re-index documents from data/kb_documents/:</w:t>
      </w:r>
    </w:p>
    <w:p>
      <w:pPr>
        <w:spacing w:before="40" w:after="80"/>
        <w:ind w:left="360"/>
      </w:pPr>
      <w:r>
        <w:rPr>
          <w:rFonts w:ascii="Consolas" w:hAnsi="Consolas"/>
          <w:color w:val="000000"/>
          <w:sz w:val="19"/>
        </w:rPr>
        <w:t>python main.py ingest</w:t>
        <w:br/>
        <w:t># Or to clear existing records and rebuild from scratch:</w:t>
        <w:br/>
        <w:t>python main.py ingest --force</w:t>
      </w:r>
    </w:p>
    <w:p>
      <w:pPr>
        <w:keepNext/>
        <w:spacing w:before="200" w:after="60"/>
      </w:pPr>
      <w:r>
        <w:rPr>
          <w:rFonts w:ascii="Calibri" w:hAnsi="Calibri"/>
          <w:b/>
          <w:color w:val="000000"/>
          <w:sz w:val="23"/>
        </w:rPr>
        <w:t>5.2 Starting the Web Chat Application</w:t>
      </w:r>
    </w:p>
    <w:p>
      <w:pPr>
        <w:spacing w:before="0" w:after="80" w:line="276" w:lineRule="auto"/>
      </w:pPr>
      <w:r>
        <w:rPr>
          <w:rFonts w:ascii="Calibri" w:hAnsi="Calibri"/>
          <w:color w:val="000000"/>
          <w:sz w:val="21"/>
        </w:rPr>
        <w:t>Launch the application using the root runner:</w:t>
      </w:r>
    </w:p>
    <w:p>
      <w:pPr>
        <w:spacing w:before="40" w:after="80"/>
        <w:ind w:left="360"/>
      </w:pPr>
      <w:r>
        <w:rPr>
          <w:rFonts w:ascii="Consolas" w:hAnsi="Consolas"/>
          <w:color w:val="000000"/>
          <w:sz w:val="19"/>
        </w:rPr>
        <w:t>python main.py</w:t>
        <w:br/>
        <w:t># Or explicitly: python main.py server --host 0.0.0.0 --port 8000</w:t>
      </w:r>
    </w:p>
    <w:p>
      <w:pPr>
        <w:spacing w:before="0" w:after="80" w:line="276" w:lineRule="auto"/>
      </w:pPr>
      <w:r>
        <w:rPr>
          <w:rFonts w:ascii="Calibri" w:hAnsi="Calibri"/>
          <w:color w:val="000000"/>
          <w:sz w:val="21"/>
        </w:rPr>
        <w:t>Once started, open your web browser to:</w:t>
      </w:r>
    </w:p>
    <w:p>
      <w:pPr>
        <w:pStyle w:val="ListBullet"/>
        <w:spacing w:before="0" w:after="50" w:line="276" w:lineRule="auto"/>
      </w:pPr>
      <w:r>
        <w:rPr>
          <w:rFonts w:ascii="Calibri" w:hAnsi="Calibri"/>
          <w:b/>
          <w:color w:val="000000"/>
          <w:sz w:val="20"/>
        </w:rPr>
        <w:t xml:space="preserve">Web Chat Interface: </w:t>
      </w:r>
      <w:r>
        <w:rPr>
          <w:rFonts w:ascii="Calibri" w:hAnsi="Calibri"/>
          <w:color w:val="000000"/>
          <w:sz w:val="20"/>
        </w:rPr>
        <w:t>http://localhost:8000 — Interactive single-page support chatbot UI with drag-and-drop screenshot upload.</w:t>
      </w:r>
    </w:p>
    <w:p>
      <w:pPr>
        <w:pStyle w:val="ListBullet"/>
        <w:spacing w:before="0" w:after="50" w:line="276" w:lineRule="auto"/>
      </w:pPr>
      <w:r>
        <w:rPr>
          <w:rFonts w:ascii="Calibri" w:hAnsi="Calibri"/>
          <w:b/>
          <w:color w:val="000000"/>
          <w:sz w:val="20"/>
        </w:rPr>
        <w:t xml:space="preserve">API Documentation: </w:t>
      </w:r>
      <w:r>
        <w:rPr>
          <w:rFonts w:ascii="Calibri" w:hAnsi="Calibri"/>
          <w:color w:val="000000"/>
          <w:sz w:val="20"/>
        </w:rPr>
        <w:t>http://localhost:8000/docs — Interactive OpenAPI / Swagger documentation for testing REST endpoints directly.</w:t>
      </w:r>
    </w:p>
    <w:p>
      <w:pPr>
        <w:keepNext/>
        <w:spacing w:before="200" w:after="60"/>
      </w:pPr>
      <w:r>
        <w:rPr>
          <w:rFonts w:ascii="Calibri" w:hAnsi="Calibri"/>
          <w:b/>
          <w:color w:val="000000"/>
          <w:sz w:val="23"/>
        </w:rPr>
        <w:t>5.3 Running End-to-End Terminal Diagnosis (CLI)</w:t>
      </w:r>
    </w:p>
    <w:p>
      <w:pPr>
        <w:spacing w:before="0" w:after="80" w:line="276" w:lineRule="auto"/>
      </w:pPr>
      <w:r>
        <w:rPr>
          <w:rFonts w:ascii="Calibri" w:hAnsi="Calibri"/>
          <w:color w:val="000000"/>
          <w:sz w:val="21"/>
        </w:rPr>
        <w:t>You can diagnose an error screenshot directly from the terminal without opening a browser:</w:t>
      </w:r>
    </w:p>
    <w:p>
      <w:pPr>
        <w:spacing w:before="40" w:after="80"/>
        <w:ind w:left="360"/>
      </w:pPr>
      <w:r>
        <w:rPr>
          <w:rFonts w:ascii="Consolas" w:hAnsi="Consolas"/>
          <w:color w:val="000000"/>
          <w:sz w:val="19"/>
        </w:rPr>
        <w:t>python main.py diagnose data/sample_screenshots/kb-auth-001__01__clean_light.png</w:t>
      </w:r>
    </w:p>
    <w:p>
      <w:pPr>
        <w:spacing w:before="0" w:after="80" w:line="276" w:lineRule="auto"/>
      </w:pPr>
      <w:r>
        <w:rPr>
          <w:rFonts w:ascii="Calibri" w:hAnsi="Calibri"/>
          <w:color w:val="000000"/>
          <w:sz w:val="21"/>
        </w:rPr>
        <w:t>This command executes the full pipeline in the terminal: extracts text using PaddleOCR, searches Milvus Lite, and prints the grounded resolution along with latency and confidence metrics.</w:t>
      </w:r>
    </w:p>
    <w:p>
      <w:pPr>
        <w:keepNext/>
        <w:spacing w:before="200" w:after="60"/>
      </w:pPr>
      <w:r>
        <w:rPr>
          <w:rFonts w:ascii="Calibri" w:hAnsi="Calibri"/>
          <w:b/>
          <w:color w:val="000000"/>
          <w:sz w:val="23"/>
        </w:rPr>
        <w:t>5.4 Standalone OCR and RAG Commands</w:t>
      </w:r>
    </w:p>
    <w:p>
      <w:pPr>
        <w:pStyle w:val="ListBullet"/>
        <w:spacing w:before="0" w:after="50" w:line="276" w:lineRule="auto"/>
      </w:pPr>
      <w:r>
        <w:rPr>
          <w:rFonts w:ascii="Calibri" w:hAnsi="Calibri"/>
          <w:b/>
          <w:color w:val="000000"/>
          <w:sz w:val="20"/>
        </w:rPr>
        <w:t xml:space="preserve">Standalone OCR: </w:t>
      </w:r>
      <w:r>
        <w:rPr>
          <w:rFonts w:ascii="Calibri" w:hAnsi="Calibri"/>
          <w:color w:val="000000"/>
          <w:sz w:val="20"/>
        </w:rPr>
        <w:t>Run OCR on any image and optionally save annotated visual boxes:</w:t>
      </w:r>
    </w:p>
    <w:p>
      <w:pPr>
        <w:spacing w:before="40" w:after="80"/>
        <w:ind w:left="360"/>
      </w:pPr>
      <w:r>
        <w:rPr>
          <w:rFonts w:ascii="Consolas" w:hAnsi="Consolas"/>
          <w:color w:val="000000"/>
          <w:sz w:val="19"/>
        </w:rPr>
        <w:t>python main.py ocr demo_output/sample_invoice.jpg --save-annotated demo_output/result.jpg</w:t>
      </w:r>
    </w:p>
    <w:p>
      <w:pPr>
        <w:pStyle w:val="ListBullet"/>
        <w:spacing w:before="0" w:after="50" w:line="276" w:lineRule="auto"/>
      </w:pPr>
      <w:r>
        <w:rPr>
          <w:rFonts w:ascii="Calibri" w:hAnsi="Calibri"/>
          <w:b/>
          <w:color w:val="000000"/>
          <w:sz w:val="20"/>
        </w:rPr>
        <w:t xml:space="preserve">Standalone Knowledge Query: </w:t>
      </w:r>
      <w:r>
        <w:rPr>
          <w:rFonts w:ascii="Calibri" w:hAnsi="Calibri"/>
          <w:color w:val="000000"/>
          <w:sz w:val="20"/>
        </w:rPr>
        <w:t>Ask questions directly against the technical knowledge base:</w:t>
      </w:r>
    </w:p>
    <w:p>
      <w:pPr>
        <w:spacing w:before="40" w:after="80"/>
        <w:ind w:left="360"/>
      </w:pPr>
      <w:r>
        <w:rPr>
          <w:rFonts w:ascii="Consolas" w:hAnsi="Consolas"/>
          <w:color w:val="000000"/>
          <w:sz w:val="19"/>
        </w:rPr>
        <w:t>python main.py rag -q "How do I fix authentication token expired error?"</w:t>
      </w:r>
    </w:p>
    <w:p>
      <w:pPr>
        <w:keepNext/>
        <w:spacing w:before="200" w:after="60"/>
      </w:pPr>
      <w:r>
        <w:rPr>
          <w:rFonts w:ascii="Calibri" w:hAnsi="Calibri"/>
          <w:b/>
          <w:color w:val="000000"/>
          <w:sz w:val="23"/>
        </w:rPr>
        <w:t>5.5 Running the Automated Test Suite</w:t>
      </w:r>
    </w:p>
    <w:p>
      <w:pPr>
        <w:spacing w:before="0" w:after="80" w:line="276" w:lineRule="auto"/>
      </w:pPr>
      <w:r>
        <w:rPr>
          <w:rFonts w:ascii="Calibri" w:hAnsi="Calibri"/>
          <w:color w:val="000000"/>
          <w:sz w:val="21"/>
        </w:rPr>
        <w:t>Run all unit and integration tests across the OCR, RAG, and Server subsystems:</w:t>
      </w:r>
    </w:p>
    <w:p>
      <w:pPr>
        <w:spacing w:before="40" w:after="80"/>
        <w:ind w:left="360"/>
      </w:pPr>
      <w:r>
        <w:rPr>
          <w:rFonts w:ascii="Consolas" w:hAnsi="Consolas"/>
          <w:color w:val="000000"/>
          <w:sz w:val="19"/>
        </w:rPr>
        <w:t>pytest</w:t>
      </w:r>
    </w:p>
    <w:p>
      <w:pPr>
        <w:spacing w:before="0" w:after="80" w:line="276" w:lineRule="auto"/>
      </w:pPr>
      <w:r>
        <w:rPr>
          <w:rFonts w:ascii="Calibri" w:hAnsi="Calibri"/>
          <w:color w:val="000000"/>
          <w:sz w:val="21"/>
        </w:rPr>
        <w:t>Run the end-to-end knowledge base pipeline test verifying all 12 support scenarios:</w:t>
      </w:r>
    </w:p>
    <w:p>
      <w:pPr>
        <w:spacing w:before="40" w:after="80"/>
        <w:ind w:left="360"/>
      </w:pPr>
      <w:r>
        <w:rPr>
          <w:rFonts w:ascii="Consolas" w:hAnsi="Consolas"/>
          <w:color w:val="000000"/>
          <w:sz w:val="19"/>
        </w:rPr>
        <w:t>python RAG/test_rag_pipeline.py</w:t>
      </w:r>
    </w:p>
    <w:p>
      <w:pPr>
        <w:keepNext/>
        <w:spacing w:before="280" w:after="80"/>
      </w:pPr>
      <w:r>
        <w:rPr>
          <w:rFonts w:ascii="Calibri" w:hAnsi="Calibri"/>
          <w:b/>
          <w:color w:val="000000"/>
          <w:sz w:val="26"/>
        </w:rPr>
        <w:t>6. Verification &amp; Robustness Results</w:t>
      </w:r>
    </w:p>
    <w:p>
      <w:pPr>
        <w:spacing w:before="0" w:after="80" w:line="276" w:lineRule="auto"/>
      </w:pPr>
      <w:r>
        <w:rPr>
          <w:rFonts w:ascii="Calibri" w:hAnsi="Calibri"/>
          <w:color w:val="000000"/>
          <w:sz w:val="21"/>
        </w:rPr>
        <w:t>The end-to-end pipeline was validated through automated tests covering all functional and edge-case requirements:</w:t>
      </w:r>
    </w:p>
    <w:p>
      <w:pPr>
        <w:pStyle w:val="ListBullet"/>
        <w:spacing w:before="0" w:after="50" w:line="276" w:lineRule="auto"/>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pPr>
        <w:pStyle w:val="ListBullet"/>
        <w:spacing w:before="0" w:after="50" w:line="276" w:lineRule="auto"/>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pPr>
        <w:pStyle w:val="ListBullet"/>
        <w:spacing w:before="0" w:after="50" w:line="276" w:lineRule="auto"/>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