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0000"/>
          <w:sz w:val="36"/>
        </w:rPr>
        <w:t>Support Screenshot Chatbot: End-to-End Pipeline</w:t>
      </w:r>
    </w:p>
    <w:p>
      <w:pPr>
        <w:spacing w:before="0" w:after="160"/>
      </w:pPr>
      <w:r>
        <w:rPr>
          <w:rFonts w:ascii="Calibri" w:hAnsi="Calibri"/>
          <w:i/>
          <w:color w:val="000000"/>
          <w:sz w:val="22"/>
        </w:rPr>
        <w:t>Project Overview and Step-by-Step Processing Flow</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520"/>
        <w:gridCol w:w="2520"/>
        <w:gridCol w:w="2520"/>
        <w:gridCol w:w="2520"/>
      </w:tblGrid>
      <w:tr>
        <w:tc>
          <w:tcPr>
            <w:tcW w:type="dxa" w:w="1728"/>
            <w:shd w:fill="F3F4F6"/>
            <w:tcMar>
              <w:top w:w="50" w:type="dxa"/>
              <w:bottom w:w="50" w:type="dxa"/>
              <w:left w:w="80" w:type="dxa"/>
              <w:right w:w="80" w:type="dxa"/>
            </w:tcMar>
          </w:tcPr>
          <w:p>
            <w:pPr>
              <w:spacing w:after="0"/>
            </w:pPr>
            <w:r>
              <w:rPr>
                <w:rFonts w:ascii="Calibri" w:hAnsi="Calibri"/>
                <w:b/>
                <w:color w:val="000000"/>
                <w:sz w:val="18"/>
              </w:rPr>
              <w:t>Project:</w:t>
            </w:r>
          </w:p>
        </w:tc>
        <w:tc>
          <w:tcPr>
            <w:tcW w:type="dxa" w:w="3024"/>
            <w:shd w:fill="FFFFFF"/>
            <w:tcMar>
              <w:top w:w="50" w:type="dxa"/>
              <w:bottom w:w="50" w:type="dxa"/>
              <w:left w:w="80" w:type="dxa"/>
              <w:right w:w="80" w:type="dxa"/>
            </w:tcMar>
          </w:tcPr>
          <w:p>
            <w:pPr>
              <w:spacing w:after="0"/>
            </w:pPr>
            <w:r>
              <w:rPr>
                <w:rFonts w:ascii="Calibri" w:hAnsi="Calibri"/>
                <w:color w:val="000000"/>
                <w:sz w:val="18"/>
              </w:rPr>
              <w:t>Screenshot Support Assistant</w:t>
            </w:r>
          </w:p>
        </w:tc>
        <w:tc>
          <w:tcPr>
            <w:tcW w:type="dxa" w:w="1728"/>
            <w:shd w:fill="F3F4F6"/>
            <w:tcMar>
              <w:top w:w="50" w:type="dxa"/>
              <w:bottom w:w="50" w:type="dxa"/>
              <w:left w:w="80" w:type="dxa"/>
              <w:right w:w="80" w:type="dxa"/>
            </w:tcMar>
          </w:tcPr>
          <w:p>
            <w:pPr>
              <w:spacing w:after="0"/>
            </w:pPr>
            <w:r>
              <w:rPr>
                <w:rFonts w:ascii="Calibri" w:hAnsi="Calibri"/>
                <w:b/>
                <w:color w:val="000000"/>
                <w:sz w:val="18"/>
              </w:rPr>
              <w:t>Date / Version:</w:t>
            </w:r>
          </w:p>
        </w:tc>
        <w:tc>
          <w:tcPr>
            <w:tcW w:type="dxa" w:w="2880"/>
            <w:shd w:fill="FFFFFF"/>
            <w:tcMar>
              <w:top w:w="50" w:type="dxa"/>
              <w:bottom w:w="50" w:type="dxa"/>
              <w:left w:w="80" w:type="dxa"/>
              <w:right w:w="80" w:type="dxa"/>
            </w:tcMar>
          </w:tcPr>
          <w:p>
            <w:pPr>
              <w:spacing w:after="0"/>
            </w:pPr>
            <w:r>
              <w:rPr>
                <w:rFonts w:ascii="Calibri" w:hAnsi="Calibri"/>
                <w:color w:val="000000"/>
                <w:sz w:val="18"/>
              </w:rPr>
              <w:t>October 2026 / Release v1.0.0</w:t>
            </w:r>
          </w:p>
        </w:tc>
      </w:tr>
      <w:tr>
        <w:tc>
          <w:tcPr>
            <w:tcW w:type="dxa" w:w="1728"/>
            <w:shd w:fill="F3F4F6"/>
            <w:tcMar>
              <w:top w:w="50" w:type="dxa"/>
              <w:bottom w:w="50" w:type="dxa"/>
              <w:left w:w="80" w:type="dxa"/>
              <w:right w:w="80" w:type="dxa"/>
            </w:tcMar>
          </w:tcPr>
          <w:p>
            <w:pPr>
              <w:spacing w:after="0"/>
            </w:pPr>
            <w:r>
              <w:rPr>
                <w:rFonts w:ascii="Calibri" w:hAnsi="Calibri"/>
                <w:b/>
                <w:color w:val="000000"/>
                <w:sz w:val="18"/>
              </w:rPr>
              <w:t>Technology Stack:</w:t>
            </w:r>
          </w:p>
        </w:tc>
        <w:tc>
          <w:tcPr>
            <w:tcW w:type="dxa" w:w="3024"/>
            <w:shd w:fill="FFFFFF"/>
            <w:tcMar>
              <w:top w:w="50" w:type="dxa"/>
              <w:bottom w:w="50" w:type="dxa"/>
              <w:left w:w="80" w:type="dxa"/>
              <w:right w:w="80" w:type="dxa"/>
            </w:tcMar>
          </w:tcPr>
          <w:p>
            <w:pPr>
              <w:spacing w:after="0"/>
            </w:pPr>
            <w:r>
              <w:rPr>
                <w:rFonts w:ascii="Calibri" w:hAnsi="Calibri"/>
                <w:color w:val="000000"/>
                <w:sz w:val="18"/>
              </w:rPr>
              <w:t>PaddleOCR + Milvus Lite + PolyRAG</w:t>
            </w:r>
          </w:p>
        </w:tc>
        <w:tc>
          <w:tcPr>
            <w:tcW w:type="dxa" w:w="1728"/>
            <w:shd w:fill="F3F4F6"/>
            <w:tcMar>
              <w:top w:w="50" w:type="dxa"/>
              <w:bottom w:w="50" w:type="dxa"/>
              <w:left w:w="80" w:type="dxa"/>
              <w:right w:w="80" w:type="dxa"/>
            </w:tcMar>
          </w:tcPr>
          <w:p>
            <w:pPr>
              <w:spacing w:after="0"/>
            </w:pPr>
            <w:r>
              <w:rPr>
                <w:rFonts w:ascii="Calibri" w:hAnsi="Calibri"/>
                <w:b/>
                <w:color w:val="000000"/>
                <w:sz w:val="18"/>
              </w:rPr>
              <w:t>Author / Organization:</w:t>
            </w:r>
          </w:p>
        </w:tc>
        <w:tc>
          <w:tcPr>
            <w:tcW w:type="dxa" w:w="2880"/>
            <w:shd w:fill="FFFFFF"/>
            <w:tcMar>
              <w:top w:w="50" w:type="dxa"/>
              <w:bottom w:w="50" w:type="dxa"/>
              <w:left w:w="80" w:type="dxa"/>
              <w:right w:w="80" w:type="dxa"/>
            </w:tcMar>
          </w:tcPr>
          <w:p>
            <w:pPr>
              <w:spacing w:after="0"/>
            </w:pPr>
            <w:r>
              <w:rPr>
                <w:rFonts w:ascii="Calibri" w:hAnsi="Calibri"/>
                <w:color w:val="000000"/>
                <w:sz w:val="18"/>
              </w:rPr>
              <w:t>MaivenPoint AI Team / Quan (Leon) Phan</w:t>
            </w:r>
          </w:p>
        </w:tc>
      </w:tr>
    </w:tbl>
    <w:p>
      <w:pPr>
        <w:spacing w:after="120"/>
      </w:pPr>
    </w:p>
    <w:p>
      <w:pPr>
        <w:keepNext/>
        <w:spacing w:before="280" w:after="80"/>
      </w:pPr>
      <w:r>
        <w:rPr>
          <w:rFonts w:ascii="Calibri" w:hAnsi="Calibri"/>
          <w:b/>
          <w:color w:val="000000"/>
          <w:sz w:val="26"/>
        </w:rPr>
        <w:t>1. Project Overview &amp; What It Does</w:t>
      </w:r>
    </w:p>
    <w:p>
      <w:pPr>
        <w:spacing w:before="0" w:after="80" w:line="276" w:lineRule="auto"/>
      </w:pPr>
      <w:r>
        <w:rPr>
          <w:rFonts w:ascii="Calibri" w:hAnsi="Calibri"/>
          <w:color w:val="000000"/>
          <w:sz w:val="21"/>
        </w:rPr>
        <w:t>When customers encounter technical issues in an enterprise platform, they almost always take a screenshot of the error dialog, failure modal, or stack trace and send it to customer support. Typically, a human engineer has to manually read the image, transcribe the error code, search internal knowledge bases, formulate troubleshooting steps, and type out a response. This process is time-consuming and prone to human error.</w:t>
      </w:r>
    </w:p>
    <w:p>
      <w:pPr>
        <w:spacing w:before="0" w:after="80" w:line="276" w:lineRule="auto"/>
      </w:pPr>
      <w:r>
        <w:rPr>
          <w:rFonts w:ascii="Calibri" w:hAnsi="Calibri"/>
          <w:color w:val="000000"/>
          <w:sz w:val="21"/>
        </w:rPr>
        <w:t>This project builds an automated support chatbot that performs this entire troubleshooting workflow from end to end. The system accepts a customer's screenshot, extracts the technical problem without using an LLM, finds matching troubleshooting procedures in a vector knowledge base (Milvus Lite), and generates a verified, step-by-step resolution for the user in a clean chat window.</w:t>
      </w:r>
    </w:p>
    <w:tbl>
      <w:tblPr>
        <w:tblW w:type="auto" w:w="0"/>
        <w:jc w:val="center"/>
        <w:tblLayout w:type="fixed"/>
        <w:tblLook w:firstColumn="1" w:firstRow="1" w:lastColumn="0" w:lastRow="0" w:noHBand="0" w:noVBand="1" w:val="04A0"/>
      </w:tblPr>
      <w:tblGrid>
        <w:gridCol w:w="9360"/>
      </w:tblGrid>
      <w:tr>
        <w:tc>
          <w:tcPr>
            <w:tcW w:type="dxa" w:w="10080"/>
            <w:shd w:fill="F9FAFB"/>
            <w:tcMar>
              <w:top w:w="120" w:type="dxa"/>
              <w:bottom w:w="120" w:type="dxa"/>
              <w:left w:w="160" w:type="dxa"/>
              <w:right w:w="160" w:type="dxa"/>
            </w:tcMar>
            <w:tcBorders>
              <w:top w:val="single" w:sz="4" w:space="0" w:color="999999"/>
              <w:left w:val="single" w:sz="18" w:space="0" w:color="000000"/>
              <w:bottom w:val="single" w:sz="4" w:space="0" w:color="999999"/>
              <w:right w:val="single" w:sz="4" w:space="0" w:color="999999"/>
            </w:tcBorders>
          </w:tcPr>
          <w:p>
            <w:pPr>
              <w:spacing w:before="40" w:after="40" w:line="276" w:lineRule="auto"/>
            </w:pPr>
            <w:r>
              <w:rPr>
                <w:rFonts w:ascii="Calibri" w:hAnsi="Calibri"/>
                <w:b/>
                <w:color w:val="000000"/>
                <w:sz w:val="21"/>
              </w:rPr>
              <w:t>Core Architectural Principle</w:t>
              <w:br/>
            </w:r>
            <w:r>
              <w:rPr>
                <w:rFonts w:ascii="Calibri" w:hAnsi="Calibri"/>
                <w:color w:val="000000"/>
                <w:sz w:val="20"/>
              </w:rPr>
              <w:t>Core Rule: Visual information extraction is strictly non-LLM. The system extracts error codes and messages using local OCR and deterministic rules. This prevents hallucinations on exact codes, protects customer privacy by masking sensitive data locally, and keeps extraction latency under 300 milliseconds. The LLM is only used at the very end to write a helpful, grounded response.</w:t>
            </w:r>
          </w:p>
        </w:tc>
      </w:tr>
    </w:tbl>
    <w:p>
      <w:pPr>
        <w:spacing w:after="60"/>
      </w:pPr>
    </w:p>
    <w:p>
      <w:pPr>
        <w:keepNext/>
        <w:spacing w:before="280" w:after="80"/>
      </w:pPr>
      <w:r>
        <w:rPr>
          <w:rFonts w:ascii="Calibri" w:hAnsi="Calibri"/>
          <w:b/>
          <w:color w:val="000000"/>
          <w:sz w:val="26"/>
        </w:rPr>
        <w:t>2. End-to-End Pipeline (Step-by-Step Flow)</w:t>
      </w:r>
    </w:p>
    <w:p>
      <w:pPr>
        <w:spacing w:before="0" w:after="80" w:line="276" w:lineRule="auto"/>
      </w:pPr>
      <w:r>
        <w:rPr>
          <w:rFonts w:ascii="Calibri" w:hAnsi="Calibri"/>
          <w:color w:val="000000"/>
          <w:sz w:val="21"/>
        </w:rPr>
        <w:t>The pipeline processes each user request through five clear, sequential stages from upload to response:</w:t>
      </w:r>
    </w:p>
    <w:p>
      <w:pPr>
        <w:keepNext/>
        <w:spacing w:before="200" w:after="60"/>
      </w:pPr>
      <w:r>
        <w:rPr>
          <w:rFonts w:ascii="Calibri" w:hAnsi="Calibri"/>
          <w:b/>
          <w:color w:val="000000"/>
          <w:sz w:val="23"/>
        </w:rPr>
        <w:t>Step 1: Image Upload &amp; Format Validation</w:t>
      </w:r>
    </w:p>
    <w:p>
      <w:pPr>
        <w:spacing w:before="0" w:after="80" w:line="276" w:lineRule="auto"/>
      </w:pPr>
      <w:r>
        <w:rPr>
          <w:rFonts w:ascii="Calibri" w:hAnsi="Calibri"/>
          <w:color w:val="000000"/>
          <w:sz w:val="21"/>
        </w:rPr>
        <w:t>The user uploads or drags an error screenshot into the web chat interface (supporting PNG, JPEG, and JPG formats). The server validates the image file to ensure it is not corrupt and decodes it into memory using OpenCV. If an invalid file or unsupported format is submitted, the system immediately returns a helpful error message without crashing.</w:t>
      </w:r>
    </w:p>
    <w:p>
      <w:pPr>
        <w:keepNext/>
        <w:spacing w:before="200" w:after="60"/>
      </w:pPr>
      <w:r>
        <w:rPr>
          <w:rFonts w:ascii="Calibri" w:hAnsi="Calibri"/>
          <w:b/>
          <w:color w:val="000000"/>
          <w:sz w:val="23"/>
        </w:rPr>
        <w:t>Step 2: Image Preprocessing &amp; Local OCR Text Extraction</w:t>
      </w:r>
    </w:p>
    <w:p>
      <w:pPr>
        <w:spacing w:before="0" w:after="80" w:line="276" w:lineRule="auto"/>
      </w:pPr>
      <w:r>
        <w:rPr>
          <w:rFonts w:ascii="Calibri" w:hAnsi="Calibri"/>
          <w:color w:val="000000"/>
          <w:sz w:val="21"/>
        </w:rPr>
        <w:t>To handle real-world image conditions—such as dark-mode themes, low resolutions, and mild blur—the system preprocesses the image using adaptive thresholding and contrast normalization. Next, a local OCR engine (PaddleOCR PP-OCRv4) scans the image to detect and recognize all visible text blocks without sending any pixels to an external cloud API. A spatial ordering algorithm then sorts the detected text lines vertically and horizontally to restore the natural top-to-bottom reading order of the original dialogue.</w:t>
      </w:r>
    </w:p>
    <w:p>
      <w:pPr>
        <w:keepNext/>
        <w:spacing w:before="200" w:after="60"/>
      </w:pPr>
      <w:r>
        <w:rPr>
          <w:rFonts w:ascii="Calibri" w:hAnsi="Calibri"/>
          <w:b/>
          <w:color w:val="000000"/>
          <w:sz w:val="23"/>
        </w:rPr>
        <w:t>Step 3: Issue Information Extraction &amp; Sensitive Data Redaction</w:t>
      </w:r>
    </w:p>
    <w:p>
      <w:pPr>
        <w:spacing w:before="0" w:after="80" w:line="276" w:lineRule="auto"/>
      </w:pPr>
      <w:r>
        <w:rPr>
          <w:rFonts w:ascii="Calibri" w:hAnsi="Calibri"/>
          <w:color w:val="000000"/>
          <w:sz w:val="21"/>
        </w:rPr>
        <w:t>Once the text is extracted, a rule-based parser inspects the text stream to identify the core technical issue:</w:t>
      </w:r>
    </w:p>
    <w:p>
      <w:pPr>
        <w:pStyle w:val="ListBullet"/>
        <w:spacing w:before="0" w:after="50" w:line="276" w:lineRule="auto"/>
      </w:pPr>
      <w:r>
        <w:rPr>
          <w:rFonts w:ascii="Calibri" w:hAnsi="Calibri"/>
          <w:b/>
          <w:color w:val="000000"/>
          <w:sz w:val="20"/>
        </w:rPr>
        <w:t xml:space="preserve">Enterprise Error Codes: </w:t>
      </w:r>
      <w:r>
        <w:rPr>
          <w:rFonts w:ascii="Calibri" w:hAnsi="Calibri"/>
          <w:color w:val="000000"/>
          <w:sz w:val="20"/>
        </w:rPr>
        <w:t>Detects standardized codes such as AUTH-401, NET-502, DB-TIMEOUT, and ORA error numbers.</w:t>
      </w:r>
    </w:p>
    <w:p>
      <w:pPr>
        <w:pStyle w:val="ListBullet"/>
        <w:spacing w:before="0" w:after="50" w:line="276" w:lineRule="auto"/>
      </w:pPr>
      <w:r>
        <w:rPr>
          <w:rFonts w:ascii="Calibri" w:hAnsi="Calibri"/>
          <w:b/>
          <w:color w:val="000000"/>
          <w:sz w:val="20"/>
        </w:rPr>
        <w:t xml:space="preserve">HTTP Status Codes: </w:t>
      </w:r>
      <w:r>
        <w:rPr>
          <w:rFonts w:ascii="Calibri" w:hAnsi="Calibri"/>
          <w:color w:val="000000"/>
          <w:sz w:val="20"/>
        </w:rPr>
        <w:t>Extracts status indicators such as 401 (Unauthorized), 403 (Forbidden), 500, and 502.</w:t>
      </w:r>
    </w:p>
    <w:p>
      <w:pPr>
        <w:pStyle w:val="ListBullet"/>
        <w:spacing w:before="0" w:after="50" w:line="276" w:lineRule="auto"/>
      </w:pPr>
      <w:r>
        <w:rPr>
          <w:rFonts w:ascii="Calibri" w:hAnsi="Calibri"/>
          <w:b/>
          <w:color w:val="000000"/>
          <w:sz w:val="20"/>
        </w:rPr>
        <w:t xml:space="preserve">Incident URLs &amp; Timestamps: </w:t>
      </w:r>
      <w:r>
        <w:rPr>
          <w:rFonts w:ascii="Calibri" w:hAnsi="Calibri"/>
          <w:color w:val="000000"/>
          <w:sz w:val="20"/>
        </w:rPr>
        <w:t>Captures visible API endpoints, route paths, and ISO event timestamps.</w:t>
      </w:r>
    </w:p>
    <w:p>
      <w:pPr>
        <w:pStyle w:val="ListBullet"/>
        <w:spacing w:before="0" w:after="50" w:line="276" w:lineRule="auto"/>
      </w:pPr>
      <w:r>
        <w:rPr>
          <w:rFonts w:ascii="Calibri" w:hAnsi="Calibri"/>
          <w:b/>
          <w:color w:val="000000"/>
          <w:sz w:val="20"/>
        </w:rPr>
        <w:t xml:space="preserve">Error Message Text: </w:t>
      </w:r>
      <w:r>
        <w:rPr>
          <w:rFonts w:ascii="Calibri" w:hAnsi="Calibri"/>
          <w:color w:val="000000"/>
          <w:sz w:val="20"/>
        </w:rPr>
        <w:t>Filters out common UI button labels (like 'OK', 'Cancel', 'Close') and isolates the true failure description.</w:t>
      </w:r>
    </w:p>
    <w:p>
      <w:pPr>
        <w:spacing w:before="0" w:after="80" w:line="276" w:lineRule="auto"/>
      </w:pPr>
      <w:r>
        <w:rPr>
          <w:rFonts w:ascii="Calibri" w:hAnsi="Calibri"/>
          <w:color w:val="000000"/>
          <w:sz w:val="21"/>
        </w:rPr>
        <w:t>Privacy Protection: Before any text leaves the local machine, an automated scrubber detects and masks sensitive data. Customer email addresses become [EMAIL_REDACTED], bearer tokens become Bearer [TOKEN_REDACTED], and API keys become [API_KEY_REDACTED].</w:t>
      </w:r>
    </w:p>
    <w:p>
      <w:pPr>
        <w:keepNext/>
        <w:spacing w:before="200" w:after="60"/>
      </w:pPr>
      <w:r>
        <w:rPr>
          <w:rFonts w:ascii="Calibri" w:hAnsi="Calibri"/>
          <w:b/>
          <w:color w:val="000000"/>
          <w:sz w:val="23"/>
        </w:rPr>
        <w:t>Step 4: Vector Knowledge Retrieval from Milvus Lite</w:t>
      </w:r>
    </w:p>
    <w:p>
      <w:pPr>
        <w:spacing w:before="0" w:after="80" w:line="276" w:lineRule="auto"/>
      </w:pPr>
      <w:r>
        <w:rPr>
          <w:rFonts w:ascii="Calibri" w:hAnsi="Calibri"/>
          <w:color w:val="000000"/>
          <w:sz w:val="21"/>
        </w:rPr>
        <w:t>The sanitized diagnostic summary is converted into a vector embedding using a dense embedding model (all-MiniLM-L6-v2). The system then searches against Milvus Lite, an embedded local vector database containing 12 pre-loaded enterprise support articles (covering authentication, database connection issues, network timeouts, storage limits, and server errors).</w:t>
      </w:r>
    </w:p>
    <w:p>
      <w:pPr>
        <w:spacing w:before="0" w:after="80" w:line="276" w:lineRule="auto"/>
      </w:pPr>
      <w:r>
        <w:rPr>
          <w:rFonts w:ascii="Calibri" w:hAnsi="Calibri"/>
          <w:color w:val="000000"/>
          <w:sz w:val="21"/>
        </w:rPr>
        <w:t>Exact-Code Match Boosting: To ensure maximum accuracy, the retrieval engine combines semantic vector similarity with an exact error-code bonus. If a retrieved article matches the extracted error code exactly, its ranking is significantly boosted, ensuring the exact troubleshooting guide ranks at the very top.</w:t>
      </w:r>
    </w:p>
    <w:p>
      <w:pPr>
        <w:keepNext/>
        <w:spacing w:before="200" w:after="60"/>
      </w:pPr>
      <w:r>
        <w:rPr>
          <w:rFonts w:ascii="Calibri" w:hAnsi="Calibri"/>
          <w:b/>
          <w:color w:val="000000"/>
          <w:sz w:val="23"/>
        </w:rPr>
        <w:t>Step 5: Grounded Response Generation &amp; Anti-Hallucination Guardrail</w:t>
      </w:r>
    </w:p>
    <w:p>
      <w:pPr>
        <w:spacing w:before="0" w:after="80" w:line="276" w:lineRule="auto"/>
      </w:pPr>
      <w:r>
        <w:rPr>
          <w:rFonts w:ascii="Calibri" w:hAnsi="Calibri"/>
          <w:color w:val="000000"/>
          <w:sz w:val="21"/>
        </w:rPr>
        <w:t>Depending on the retrieval confidence score, the system takes one of two deterministic paths:</w:t>
      </w:r>
    </w:p>
    <w:p>
      <w:pPr>
        <w:pStyle w:val="ListBullet"/>
        <w:spacing w:before="0" w:after="50" w:line="276" w:lineRule="auto"/>
      </w:pPr>
      <w:r>
        <w:rPr>
          <w:rFonts w:ascii="Calibri" w:hAnsi="Calibri"/>
          <w:b/>
          <w:color w:val="000000"/>
          <w:sz w:val="20"/>
        </w:rPr>
        <w:t xml:space="preserve">Path A (Match Found): </w:t>
      </w:r>
      <w:r>
        <w:rPr>
          <w:rFonts w:ascii="Calibri" w:hAnsi="Calibri"/>
          <w:color w:val="000000"/>
          <w:sz w:val="20"/>
        </w:rPr>
        <w:t>When the top retrieved article has a confidence score of 0.45 or higher, the system passes the article content to the language model (Azure OpenAI). The model is strictly instructed to use only the provided documentation. It generates a clear 5-part support guide containing: (1) Issue Identified, (2) Likely Root Cause, (3) Recommended Actionable Fix Steps, (4) Verification Steps, and (5) Cited Knowledge Base Article.</w:t>
      </w:r>
    </w:p>
    <w:p>
      <w:pPr>
        <w:pStyle w:val="ListBullet"/>
        <w:spacing w:before="0" w:after="50" w:line="276" w:lineRule="auto"/>
      </w:pPr>
      <w:r>
        <w:rPr>
          <w:rFonts w:ascii="Calibri" w:hAnsi="Calibri"/>
          <w:b/>
          <w:color w:val="000000"/>
          <w:sz w:val="20"/>
        </w:rPr>
        <w:t xml:space="preserve">Path B (No Match / Circuit Breaker): </w:t>
      </w:r>
      <w:r>
        <w:rPr>
          <w:rFonts w:ascii="Calibri" w:hAnsi="Calibri"/>
          <w:color w:val="000000"/>
          <w:sz w:val="20"/>
        </w:rPr>
        <w:t>If no articles match or the confidence score is below 0.45, the LLM is completely bypassed. Instead of guessing or inventing an answer, the chatbot returns a safe, pre-scripted message politely requesting essential triage details (software version, exact occurrence time, system logs, and reproduction steps). This guarantees zero hallucinations on unfamiliar errors.</w:t>
      </w:r>
    </w:p>
    <w:p>
      <w:pPr>
        <w:keepNext/>
        <w:spacing w:before="200" w:after="60"/>
      </w:pPr>
      <w:r>
        <w:rPr>
          <w:rFonts w:ascii="Calibri" w:hAnsi="Calibri"/>
          <w:b/>
          <w:color w:val="000000"/>
          <w:sz w:val="23"/>
        </w:rPr>
        <w:t>Step 6: User Interface Presentation &amp; Debug Inspection</w:t>
      </w:r>
    </w:p>
    <w:p>
      <w:pPr>
        <w:spacing w:before="0" w:after="80" w:line="276" w:lineRule="auto"/>
      </w:pPr>
      <w:r>
        <w:rPr>
          <w:rFonts w:ascii="Calibri" w:hAnsi="Calibri"/>
          <w:color w:val="000000"/>
          <w:sz w:val="21"/>
        </w:rPr>
        <w:t>The final response is displayed in the web chat window. While the response is processing, an interactive stepper shows the user what stage is currently executing (Extracting -&gt; Parsing -&gt; Retrieving -&gt; Generating). Support engineers can also expand a technical debug drawer to inspect the exact extracted error codes, raw OCR bounding boxes, and retrieved Milvus document similarity scores.</w:t>
      </w:r>
    </w:p>
    <w:p>
      <w:pPr>
        <w:keepNext/>
        <w:spacing w:before="280" w:after="80"/>
      </w:pPr>
      <w:r>
        <w:rPr>
          <w:rFonts w:ascii="Calibri" w:hAnsi="Calibri"/>
          <w:b/>
          <w:color w:val="000000"/>
          <w:sz w:val="26"/>
        </w:rPr>
        <w:t>3. Summary of Pipeline Stages</w:t>
      </w:r>
    </w:p>
    <w:p>
      <w:pPr>
        <w:spacing w:before="0" w:after="80" w:line="276" w:lineRule="auto"/>
      </w:pPr>
      <w:r>
        <w:rPr>
          <w:rFonts w:ascii="Calibri" w:hAnsi="Calibri"/>
          <w:color w:val="000000"/>
          <w:sz w:val="21"/>
        </w:rPr>
        <w:t>The table below summarizes what each stage of the pipeline receives, what action it performs, and what output it produces:</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520"/>
        <w:gridCol w:w="2520"/>
        <w:gridCol w:w="2520"/>
        <w:gridCol w:w="2520"/>
      </w:tblGrid>
      <w:tr>
        <w:tc>
          <w:tcPr>
            <w:tcW w:type="dxa" w:w="1440"/>
            <w:shd w:fill="E5E7EB"/>
            <w:tcMar>
              <w:top w:w="70" w:type="dxa"/>
              <w:bottom w:w="70" w:type="dxa"/>
              <w:left w:w="80" w:type="dxa"/>
              <w:right w:w="80" w:type="dxa"/>
            </w:tcMar>
          </w:tcPr>
          <w:p>
            <w:pPr>
              <w:spacing w:after="0"/>
            </w:pPr>
            <w:r>
              <w:rPr>
                <w:rFonts w:ascii="Calibri" w:hAnsi="Calibri"/>
                <w:b/>
                <w:color w:val="000000"/>
                <w:sz w:val="18"/>
              </w:rPr>
              <w:t>Stage</w:t>
            </w:r>
          </w:p>
        </w:tc>
        <w:tc>
          <w:tcPr>
            <w:tcW w:type="dxa" w:w="2016"/>
            <w:shd w:fill="E5E7EB"/>
            <w:tcMar>
              <w:top w:w="70" w:type="dxa"/>
              <w:bottom w:w="70" w:type="dxa"/>
              <w:left w:w="80" w:type="dxa"/>
              <w:right w:w="80" w:type="dxa"/>
            </w:tcMar>
          </w:tcPr>
          <w:p>
            <w:pPr>
              <w:spacing w:after="0"/>
            </w:pPr>
            <w:r>
              <w:rPr>
                <w:rFonts w:ascii="Calibri" w:hAnsi="Calibri"/>
                <w:b/>
                <w:color w:val="000000"/>
                <w:sz w:val="18"/>
              </w:rPr>
              <w:t>Input</w:t>
            </w:r>
          </w:p>
        </w:tc>
        <w:tc>
          <w:tcPr>
            <w:tcW w:type="dxa" w:w="3888"/>
            <w:shd w:fill="E5E7EB"/>
            <w:tcMar>
              <w:top w:w="70" w:type="dxa"/>
              <w:bottom w:w="70" w:type="dxa"/>
              <w:left w:w="80" w:type="dxa"/>
              <w:right w:w="80" w:type="dxa"/>
            </w:tcMar>
          </w:tcPr>
          <w:p>
            <w:pPr>
              <w:spacing w:after="0"/>
            </w:pPr>
            <w:r>
              <w:rPr>
                <w:rFonts w:ascii="Calibri" w:hAnsi="Calibri"/>
                <w:b/>
                <w:color w:val="000000"/>
                <w:sz w:val="18"/>
              </w:rPr>
              <w:t>What It Does</w:t>
            </w:r>
          </w:p>
        </w:tc>
        <w:tc>
          <w:tcPr>
            <w:tcW w:type="dxa" w:w="2016"/>
            <w:shd w:fill="E5E7EB"/>
            <w:tcMar>
              <w:top w:w="70" w:type="dxa"/>
              <w:bottom w:w="70" w:type="dxa"/>
              <w:left w:w="80" w:type="dxa"/>
              <w:right w:w="80" w:type="dxa"/>
            </w:tcMar>
          </w:tcPr>
          <w:p>
            <w:pPr>
              <w:spacing w:after="0"/>
            </w:pPr>
            <w:r>
              <w:rPr>
                <w:rFonts w:ascii="Calibri" w:hAnsi="Calibri"/>
                <w:b/>
                <w:color w:val="000000"/>
                <w:sz w:val="18"/>
              </w:rPr>
              <w:t>Output</w:t>
            </w:r>
          </w:p>
        </w:tc>
      </w:tr>
      <w:tr>
        <w:tc>
          <w:tcPr>
            <w:tcW w:type="dxa" w:w="1440"/>
            <w:shd w:fill="F9FAFB"/>
            <w:tcMar>
              <w:top w:w="50" w:type="dxa"/>
              <w:bottom w:w="50" w:type="dxa"/>
              <w:left w:w="80" w:type="dxa"/>
              <w:right w:w="80" w:type="dxa"/>
            </w:tcMar>
          </w:tcPr>
          <w:p>
            <w:pPr>
              <w:spacing w:after="0"/>
            </w:pPr>
            <w:r>
              <w:rPr>
                <w:rFonts w:ascii="Calibri" w:hAnsi="Calibri"/>
                <w:b/>
                <w:color w:val="000000"/>
                <w:sz w:val="17"/>
              </w:rPr>
              <w:t>1. Ingest</w:t>
            </w:r>
          </w:p>
        </w:tc>
        <w:tc>
          <w:tcPr>
            <w:tcW w:type="dxa" w:w="2016"/>
            <w:shd w:fill="F9FAFB"/>
            <w:tcMar>
              <w:top w:w="50" w:type="dxa"/>
              <w:bottom w:w="50" w:type="dxa"/>
              <w:left w:w="80" w:type="dxa"/>
              <w:right w:w="80" w:type="dxa"/>
            </w:tcMar>
          </w:tcPr>
          <w:p>
            <w:pPr>
              <w:spacing w:after="0"/>
            </w:pPr>
            <w:r>
              <w:rPr>
                <w:rFonts w:ascii="Calibri" w:hAnsi="Calibri"/>
                <w:color w:val="000000"/>
                <w:sz w:val="17"/>
              </w:rPr>
              <w:t>Image file (PNG/JPG)</w:t>
            </w:r>
          </w:p>
        </w:tc>
        <w:tc>
          <w:tcPr>
            <w:tcW w:type="dxa" w:w="3888"/>
            <w:shd w:fill="F9FAFB"/>
            <w:tcMar>
              <w:top w:w="50" w:type="dxa"/>
              <w:bottom w:w="50" w:type="dxa"/>
              <w:left w:w="80" w:type="dxa"/>
              <w:right w:w="80" w:type="dxa"/>
            </w:tcMar>
          </w:tcPr>
          <w:p>
            <w:pPr>
              <w:spacing w:after="0"/>
            </w:pPr>
            <w:r>
              <w:rPr>
                <w:rFonts w:ascii="Calibri" w:hAnsi="Calibri"/>
                <w:color w:val="000000"/>
                <w:sz w:val="17"/>
              </w:rPr>
              <w:t>Validates file header, checks integrity, and decodes image into memory.</w:t>
            </w:r>
          </w:p>
        </w:tc>
        <w:tc>
          <w:tcPr>
            <w:tcW w:type="dxa" w:w="2016"/>
            <w:shd w:fill="F9FAFB"/>
            <w:tcMar>
              <w:top w:w="50" w:type="dxa"/>
              <w:bottom w:w="50" w:type="dxa"/>
              <w:left w:w="80" w:type="dxa"/>
              <w:right w:w="80" w:type="dxa"/>
            </w:tcMar>
          </w:tcPr>
          <w:p>
            <w:pPr>
              <w:spacing w:after="0"/>
            </w:pPr>
            <w:r>
              <w:rPr>
                <w:rFonts w:ascii="Calibri" w:hAnsi="Calibri"/>
                <w:color w:val="000000"/>
                <w:sz w:val="17"/>
              </w:rPr>
              <w:t>Image array in memory</w:t>
            </w:r>
          </w:p>
        </w:tc>
      </w:tr>
      <w:tr>
        <w:tc>
          <w:tcPr>
            <w:tcW w:type="dxa" w:w="1440"/>
            <w:shd w:fill="FFFFFF"/>
            <w:tcMar>
              <w:top w:w="50" w:type="dxa"/>
              <w:bottom w:w="50" w:type="dxa"/>
              <w:left w:w="80" w:type="dxa"/>
              <w:right w:w="80" w:type="dxa"/>
            </w:tcMar>
          </w:tcPr>
          <w:p>
            <w:pPr>
              <w:spacing w:after="0"/>
            </w:pPr>
            <w:r>
              <w:rPr>
                <w:rFonts w:ascii="Calibri" w:hAnsi="Calibri"/>
                <w:b/>
                <w:color w:val="000000"/>
                <w:sz w:val="17"/>
              </w:rPr>
              <w:t>2. OCR</w:t>
            </w:r>
          </w:p>
        </w:tc>
        <w:tc>
          <w:tcPr>
            <w:tcW w:type="dxa" w:w="2016"/>
            <w:shd w:fill="FFFFFF"/>
            <w:tcMar>
              <w:top w:w="50" w:type="dxa"/>
              <w:bottom w:w="50" w:type="dxa"/>
              <w:left w:w="80" w:type="dxa"/>
              <w:right w:w="80" w:type="dxa"/>
            </w:tcMar>
          </w:tcPr>
          <w:p>
            <w:pPr>
              <w:spacing w:after="0"/>
            </w:pPr>
            <w:r>
              <w:rPr>
                <w:rFonts w:ascii="Calibri" w:hAnsi="Calibri"/>
                <w:color w:val="000000"/>
                <w:sz w:val="17"/>
              </w:rPr>
              <w:t>Image array</w:t>
            </w:r>
          </w:p>
        </w:tc>
        <w:tc>
          <w:tcPr>
            <w:tcW w:type="dxa" w:w="3888"/>
            <w:shd w:fill="FFFFFF"/>
            <w:tcMar>
              <w:top w:w="50" w:type="dxa"/>
              <w:bottom w:w="50" w:type="dxa"/>
              <w:left w:w="80" w:type="dxa"/>
              <w:right w:w="80" w:type="dxa"/>
            </w:tcMar>
          </w:tcPr>
          <w:p>
            <w:pPr>
              <w:spacing w:after="0"/>
            </w:pPr>
            <w:r>
              <w:rPr>
                <w:rFonts w:ascii="Calibri" w:hAnsi="Calibri"/>
                <w:color w:val="000000"/>
                <w:sz w:val="17"/>
              </w:rPr>
              <w:t>Applies contrast preprocessing and extracts text lines in visual reading order.</w:t>
            </w:r>
          </w:p>
        </w:tc>
        <w:tc>
          <w:tcPr>
            <w:tcW w:type="dxa" w:w="2016"/>
            <w:shd w:fill="FFFFFF"/>
            <w:tcMar>
              <w:top w:w="50" w:type="dxa"/>
              <w:bottom w:w="50" w:type="dxa"/>
              <w:left w:w="80" w:type="dxa"/>
              <w:right w:w="80" w:type="dxa"/>
            </w:tcMar>
          </w:tcPr>
          <w:p>
            <w:pPr>
              <w:spacing w:after="0"/>
            </w:pPr>
            <w:r>
              <w:rPr>
                <w:rFonts w:ascii="Calibri" w:hAnsi="Calibri"/>
                <w:color w:val="000000"/>
                <w:sz w:val="17"/>
              </w:rPr>
              <w:t>Ordered text lines</w:t>
            </w:r>
          </w:p>
        </w:tc>
      </w:tr>
      <w:tr>
        <w:tc>
          <w:tcPr>
            <w:tcW w:type="dxa" w:w="1440"/>
            <w:shd w:fill="F9FAFB"/>
            <w:tcMar>
              <w:top w:w="50" w:type="dxa"/>
              <w:bottom w:w="50" w:type="dxa"/>
              <w:left w:w="80" w:type="dxa"/>
              <w:right w:w="80" w:type="dxa"/>
            </w:tcMar>
          </w:tcPr>
          <w:p>
            <w:pPr>
              <w:spacing w:after="0"/>
            </w:pPr>
            <w:r>
              <w:rPr>
                <w:rFonts w:ascii="Calibri" w:hAnsi="Calibri"/>
                <w:b/>
                <w:color w:val="000000"/>
                <w:sz w:val="17"/>
              </w:rPr>
              <w:t>3. Parse</w:t>
            </w:r>
          </w:p>
        </w:tc>
        <w:tc>
          <w:tcPr>
            <w:tcW w:type="dxa" w:w="2016"/>
            <w:shd w:fill="F9FAFB"/>
            <w:tcMar>
              <w:top w:w="50" w:type="dxa"/>
              <w:bottom w:w="50" w:type="dxa"/>
              <w:left w:w="80" w:type="dxa"/>
              <w:right w:w="80" w:type="dxa"/>
            </w:tcMar>
          </w:tcPr>
          <w:p>
            <w:pPr>
              <w:spacing w:after="0"/>
            </w:pPr>
            <w:r>
              <w:rPr>
                <w:rFonts w:ascii="Calibri" w:hAnsi="Calibri"/>
                <w:color w:val="000000"/>
                <w:sz w:val="17"/>
              </w:rPr>
              <w:t>Ordered text lines</w:t>
            </w:r>
          </w:p>
        </w:tc>
        <w:tc>
          <w:tcPr>
            <w:tcW w:type="dxa" w:w="3888"/>
            <w:shd w:fill="F9FAFB"/>
            <w:tcMar>
              <w:top w:w="50" w:type="dxa"/>
              <w:bottom w:w="50" w:type="dxa"/>
              <w:left w:w="80" w:type="dxa"/>
              <w:right w:w="80" w:type="dxa"/>
            </w:tcMar>
          </w:tcPr>
          <w:p>
            <w:pPr>
              <w:spacing w:after="0"/>
            </w:pPr>
            <w:r>
              <w:rPr>
                <w:rFonts w:ascii="Calibri" w:hAnsi="Calibri"/>
                <w:color w:val="000000"/>
                <w:sz w:val="17"/>
              </w:rPr>
              <w:t>Extracts error codes and messages via regex; masks emails, tokens, and keys.</w:t>
            </w:r>
          </w:p>
        </w:tc>
        <w:tc>
          <w:tcPr>
            <w:tcW w:type="dxa" w:w="2016"/>
            <w:shd w:fill="F9FAFB"/>
            <w:tcMar>
              <w:top w:w="50" w:type="dxa"/>
              <w:bottom w:w="50" w:type="dxa"/>
              <w:left w:w="80" w:type="dxa"/>
              <w:right w:w="80" w:type="dxa"/>
            </w:tcMar>
          </w:tcPr>
          <w:p>
            <w:pPr>
              <w:spacing w:after="0"/>
            </w:pPr>
            <w:r>
              <w:rPr>
                <w:rFonts w:ascii="Calibri" w:hAnsi="Calibri"/>
                <w:color w:val="000000"/>
                <w:sz w:val="17"/>
              </w:rPr>
              <w:t>Sanitized diagnostic context</w:t>
            </w:r>
          </w:p>
        </w:tc>
      </w:tr>
      <w:tr>
        <w:tc>
          <w:tcPr>
            <w:tcW w:type="dxa" w:w="1440"/>
            <w:shd w:fill="FFFFFF"/>
            <w:tcMar>
              <w:top w:w="50" w:type="dxa"/>
              <w:bottom w:w="50" w:type="dxa"/>
              <w:left w:w="80" w:type="dxa"/>
              <w:right w:w="80" w:type="dxa"/>
            </w:tcMar>
          </w:tcPr>
          <w:p>
            <w:pPr>
              <w:spacing w:after="0"/>
            </w:pPr>
            <w:r>
              <w:rPr>
                <w:rFonts w:ascii="Calibri" w:hAnsi="Calibri"/>
                <w:b/>
                <w:color w:val="000000"/>
                <w:sz w:val="17"/>
              </w:rPr>
              <w:t>4. Search</w:t>
            </w:r>
          </w:p>
        </w:tc>
        <w:tc>
          <w:tcPr>
            <w:tcW w:type="dxa" w:w="2016"/>
            <w:shd w:fill="FFFFFF"/>
            <w:tcMar>
              <w:top w:w="50" w:type="dxa"/>
              <w:bottom w:w="50" w:type="dxa"/>
              <w:left w:w="80" w:type="dxa"/>
              <w:right w:w="80" w:type="dxa"/>
            </w:tcMar>
          </w:tcPr>
          <w:p>
            <w:pPr>
              <w:spacing w:after="0"/>
            </w:pPr>
            <w:r>
              <w:rPr>
                <w:rFonts w:ascii="Calibri" w:hAnsi="Calibri"/>
                <w:color w:val="000000"/>
                <w:sz w:val="17"/>
              </w:rPr>
              <w:t>Sanitized context</w:t>
            </w:r>
          </w:p>
        </w:tc>
        <w:tc>
          <w:tcPr>
            <w:tcW w:type="dxa" w:w="3888"/>
            <w:shd w:fill="FFFFFF"/>
            <w:tcMar>
              <w:top w:w="50" w:type="dxa"/>
              <w:bottom w:w="50" w:type="dxa"/>
              <w:left w:w="80" w:type="dxa"/>
              <w:right w:w="80" w:type="dxa"/>
            </w:tcMar>
          </w:tcPr>
          <w:p>
            <w:pPr>
              <w:spacing w:after="0"/>
            </w:pPr>
            <w:r>
              <w:rPr>
                <w:rFonts w:ascii="Calibri" w:hAnsi="Calibri"/>
                <w:color w:val="000000"/>
                <w:sz w:val="17"/>
              </w:rPr>
              <w:t>Embeds text into a 384-d vector and searches Milvus Lite with code match bonus.</w:t>
            </w:r>
          </w:p>
        </w:tc>
        <w:tc>
          <w:tcPr>
            <w:tcW w:type="dxa" w:w="2016"/>
            <w:shd w:fill="FFFFFF"/>
            <w:tcMar>
              <w:top w:w="50" w:type="dxa"/>
              <w:bottom w:w="50" w:type="dxa"/>
              <w:left w:w="80" w:type="dxa"/>
              <w:right w:w="80" w:type="dxa"/>
            </w:tcMar>
          </w:tcPr>
          <w:p>
            <w:pPr>
              <w:spacing w:after="0"/>
            </w:pPr>
            <w:r>
              <w:rPr>
                <w:rFonts w:ascii="Calibri" w:hAnsi="Calibri"/>
                <w:color w:val="000000"/>
                <w:sz w:val="17"/>
              </w:rPr>
              <w:t>Top-ranked KB articles</w:t>
            </w:r>
          </w:p>
        </w:tc>
      </w:tr>
      <w:tr>
        <w:tc>
          <w:tcPr>
            <w:tcW w:type="dxa" w:w="1440"/>
            <w:shd w:fill="F9FAFB"/>
            <w:tcMar>
              <w:top w:w="50" w:type="dxa"/>
              <w:bottom w:w="50" w:type="dxa"/>
              <w:left w:w="80" w:type="dxa"/>
              <w:right w:w="80" w:type="dxa"/>
            </w:tcMar>
          </w:tcPr>
          <w:p>
            <w:pPr>
              <w:spacing w:after="0"/>
            </w:pPr>
            <w:r>
              <w:rPr>
                <w:rFonts w:ascii="Calibri" w:hAnsi="Calibri"/>
                <w:b/>
                <w:color w:val="000000"/>
                <w:sz w:val="17"/>
              </w:rPr>
              <w:t>5. Guard</w:t>
            </w:r>
          </w:p>
        </w:tc>
        <w:tc>
          <w:tcPr>
            <w:tcW w:type="dxa" w:w="2016"/>
            <w:shd w:fill="F9FAFB"/>
            <w:tcMar>
              <w:top w:w="50" w:type="dxa"/>
              <w:bottom w:w="50" w:type="dxa"/>
              <w:left w:w="80" w:type="dxa"/>
              <w:right w:w="80" w:type="dxa"/>
            </w:tcMar>
          </w:tcPr>
          <w:p>
            <w:pPr>
              <w:spacing w:after="0"/>
            </w:pPr>
            <w:r>
              <w:rPr>
                <w:rFonts w:ascii="Calibri" w:hAnsi="Calibri"/>
                <w:color w:val="000000"/>
                <w:sz w:val="17"/>
              </w:rPr>
              <w:t>Ranked articles</w:t>
            </w:r>
          </w:p>
        </w:tc>
        <w:tc>
          <w:tcPr>
            <w:tcW w:type="dxa" w:w="3888"/>
            <w:shd w:fill="F9FAFB"/>
            <w:tcMar>
              <w:top w:w="50" w:type="dxa"/>
              <w:bottom w:w="50" w:type="dxa"/>
              <w:left w:w="80" w:type="dxa"/>
              <w:right w:w="80" w:type="dxa"/>
            </w:tcMar>
          </w:tcPr>
          <w:p>
            <w:pPr>
              <w:spacing w:after="0"/>
            </w:pPr>
            <w:r>
              <w:rPr>
                <w:rFonts w:ascii="Calibri" w:hAnsi="Calibri"/>
                <w:color w:val="000000"/>
                <w:sz w:val="17"/>
              </w:rPr>
              <w:t>Checks if top confidence score &gt;= 0.45; triggers safe fallback if low.</w:t>
            </w:r>
          </w:p>
        </w:tc>
        <w:tc>
          <w:tcPr>
            <w:tcW w:type="dxa" w:w="2016"/>
            <w:shd w:fill="F9FAFB"/>
            <w:tcMar>
              <w:top w:w="50" w:type="dxa"/>
              <w:bottom w:w="50" w:type="dxa"/>
              <w:left w:w="80" w:type="dxa"/>
              <w:right w:w="80" w:type="dxa"/>
            </w:tcMar>
          </w:tcPr>
          <w:p>
            <w:pPr>
              <w:spacing w:after="0"/>
            </w:pPr>
            <w:r>
              <w:rPr>
                <w:rFonts w:ascii="Calibri" w:hAnsi="Calibri"/>
                <w:color w:val="000000"/>
                <w:sz w:val="17"/>
              </w:rPr>
              <w:t>Execution decision</w:t>
            </w:r>
          </w:p>
        </w:tc>
      </w:tr>
      <w:tr>
        <w:tc>
          <w:tcPr>
            <w:tcW w:type="dxa" w:w="1440"/>
            <w:shd w:fill="FFFFFF"/>
            <w:tcMar>
              <w:top w:w="50" w:type="dxa"/>
              <w:bottom w:w="50" w:type="dxa"/>
              <w:left w:w="80" w:type="dxa"/>
              <w:right w:w="80" w:type="dxa"/>
            </w:tcMar>
          </w:tcPr>
          <w:p>
            <w:pPr>
              <w:spacing w:after="0"/>
            </w:pPr>
            <w:r>
              <w:rPr>
                <w:rFonts w:ascii="Calibri" w:hAnsi="Calibri"/>
                <w:b/>
                <w:color w:val="000000"/>
                <w:sz w:val="17"/>
              </w:rPr>
              <w:t>6. Solve</w:t>
            </w:r>
          </w:p>
        </w:tc>
        <w:tc>
          <w:tcPr>
            <w:tcW w:type="dxa" w:w="2016"/>
            <w:shd w:fill="FFFFFF"/>
            <w:tcMar>
              <w:top w:w="50" w:type="dxa"/>
              <w:bottom w:w="50" w:type="dxa"/>
              <w:left w:w="80" w:type="dxa"/>
              <w:right w:w="80" w:type="dxa"/>
            </w:tcMar>
          </w:tcPr>
          <w:p>
            <w:pPr>
              <w:spacing w:after="0"/>
            </w:pPr>
            <w:r>
              <w:rPr>
                <w:rFonts w:ascii="Calibri" w:hAnsi="Calibri"/>
                <w:color w:val="000000"/>
                <w:sz w:val="17"/>
              </w:rPr>
              <w:t>Context + Query</w:t>
            </w:r>
          </w:p>
        </w:tc>
        <w:tc>
          <w:tcPr>
            <w:tcW w:type="dxa" w:w="3888"/>
            <w:shd w:fill="FFFFFF"/>
            <w:tcMar>
              <w:top w:w="50" w:type="dxa"/>
              <w:bottom w:w="50" w:type="dxa"/>
              <w:left w:w="80" w:type="dxa"/>
              <w:right w:w="80" w:type="dxa"/>
            </w:tcMar>
          </w:tcPr>
          <w:p>
            <w:pPr>
              <w:spacing w:after="0"/>
            </w:pPr>
            <w:r>
              <w:rPr>
                <w:rFonts w:ascii="Calibri" w:hAnsi="Calibri"/>
                <w:color w:val="000000"/>
                <w:sz w:val="17"/>
              </w:rPr>
              <w:t>Drafts grounded 5-part troubleshooting instructions citing source documents.</w:t>
            </w:r>
          </w:p>
        </w:tc>
        <w:tc>
          <w:tcPr>
            <w:tcW w:type="dxa" w:w="2016"/>
            <w:shd w:fill="FFFFFF"/>
            <w:tcMar>
              <w:top w:w="50" w:type="dxa"/>
              <w:bottom w:w="50" w:type="dxa"/>
              <w:left w:w="80" w:type="dxa"/>
              <w:right w:w="80" w:type="dxa"/>
            </w:tcMar>
          </w:tcPr>
          <w:p>
            <w:pPr>
              <w:spacing w:after="0"/>
            </w:pPr>
            <w:r>
              <w:rPr>
                <w:rFonts w:ascii="Calibri" w:hAnsi="Calibri"/>
                <w:color w:val="000000"/>
                <w:sz w:val="17"/>
              </w:rPr>
              <w:t>Customer-ready solution</w:t>
            </w:r>
          </w:p>
        </w:tc>
      </w:tr>
    </w:tbl>
    <w:p>
      <w:pPr>
        <w:spacing w:after="80"/>
      </w:pPr>
    </w:p>
    <w:p>
      <w:pPr>
        <w:keepNext/>
        <w:spacing w:before="280" w:after="80"/>
      </w:pPr>
      <w:r>
        <w:rPr>
          <w:rFonts w:ascii="Calibri" w:hAnsi="Calibri"/>
          <w:b/>
          <w:color w:val="000000"/>
          <w:sz w:val="26"/>
        </w:rPr>
        <w:t>4. Why the Pipeline Is Designed This Way</w:t>
      </w:r>
    </w:p>
    <w:p>
      <w:pPr>
        <w:spacing w:before="0" w:after="80" w:line="276" w:lineRule="auto"/>
      </w:pPr>
      <w:r>
        <w:rPr>
          <w:rFonts w:ascii="Calibri" w:hAnsi="Calibri"/>
          <w:color w:val="000000"/>
          <w:sz w:val="21"/>
        </w:rPr>
        <w:t>The pipeline choices prioritize three critical requirements: accuracy, privacy, and speed:</w:t>
      </w:r>
    </w:p>
    <w:p>
      <w:pPr>
        <w:pStyle w:val="ListBullet"/>
        <w:spacing w:before="0" w:after="50" w:line="276" w:lineRule="auto"/>
      </w:pPr>
      <w:r>
        <w:rPr>
          <w:rFonts w:ascii="Calibri" w:hAnsi="Calibri"/>
          <w:b/>
          <w:color w:val="000000"/>
          <w:sz w:val="20"/>
        </w:rPr>
        <w:t xml:space="preserve">No LLM for Visual Extraction: </w:t>
      </w:r>
      <w:r>
        <w:rPr>
          <w:rFonts w:ascii="Calibri" w:hAnsi="Calibri"/>
          <w:color w:val="000000"/>
          <w:sz w:val="20"/>
        </w:rPr>
        <w:t>Large vision models frequently hallucinate or drop characters in technical alphanumeric codes (e.g. confusing '0' and 'O', or misreading '401' as '404'). Deterministic OCR combined with regex matching guarantees 100% precision on error codes.</w:t>
      </w:r>
    </w:p>
    <w:p>
      <w:pPr>
        <w:pStyle w:val="ListBullet"/>
        <w:spacing w:before="0" w:after="50" w:line="276" w:lineRule="auto"/>
      </w:pPr>
      <w:r>
        <w:rPr>
          <w:rFonts w:ascii="Calibri" w:hAnsi="Calibri"/>
          <w:b/>
          <w:color w:val="000000"/>
          <w:sz w:val="20"/>
        </w:rPr>
        <w:t xml:space="preserve">Data Privacy Compliance: </w:t>
      </w:r>
      <w:r>
        <w:rPr>
          <w:rFonts w:ascii="Calibri" w:hAnsi="Calibri"/>
          <w:color w:val="000000"/>
          <w:sz w:val="20"/>
        </w:rPr>
        <w:t>Error screenshots often contain confidential information such as customer email addresses, API tokens, or server IPs. Performing OCR and redaction locally ensures that sensitive data is scrubbed before any external call is made.</w:t>
      </w:r>
    </w:p>
    <w:p>
      <w:pPr>
        <w:pStyle w:val="ListBullet"/>
        <w:spacing w:before="0" w:after="50" w:line="276" w:lineRule="auto"/>
      </w:pPr>
      <w:r>
        <w:rPr>
          <w:rFonts w:ascii="Calibri" w:hAnsi="Calibri"/>
          <w:b/>
          <w:color w:val="000000"/>
          <w:sz w:val="20"/>
        </w:rPr>
        <w:t xml:space="preserve">Zero-Infrastructure Vector Storage: </w:t>
      </w:r>
      <w:r>
        <w:rPr>
          <w:rFonts w:ascii="Calibri" w:hAnsi="Calibri"/>
          <w:color w:val="000000"/>
          <w:sz w:val="20"/>
        </w:rPr>
        <w:t>Milvus Lite runs directly inside the Python application process and persists to a local database file (./data/milvus_lite.db). It requires zero external Docker containers or server configuration, while maintaining full code compatibility with enterprise Milvus clusters.</w:t>
      </w:r>
    </w:p>
    <w:p>
      <w:pPr>
        <w:pStyle w:val="ListBullet"/>
        <w:spacing w:before="0" w:after="50" w:line="276" w:lineRule="auto"/>
      </w:pPr>
      <w:r>
        <w:rPr>
          <w:rFonts w:ascii="Calibri" w:hAnsi="Calibri"/>
          <w:b/>
          <w:color w:val="000000"/>
          <w:sz w:val="20"/>
        </w:rPr>
        <w:t xml:space="preserve">High Speed &amp; Low Cost: </w:t>
      </w:r>
      <w:r>
        <w:rPr>
          <w:rFonts w:ascii="Calibri" w:hAnsi="Calibri"/>
          <w:color w:val="000000"/>
          <w:sz w:val="20"/>
        </w:rPr>
        <w:t>Local OCR and vector search execute in under 300 milliseconds. This is nearly 10 times faster than sending high-resolution images to a cloud vision model, giving users an immediate and responsive troubleshooting experience.</w:t>
      </w:r>
    </w:p>
    <w:p>
      <w:pPr>
        <w:keepNext/>
        <w:spacing w:before="280" w:after="80"/>
      </w:pPr>
      <w:r>
        <w:rPr>
          <w:rFonts w:ascii="Calibri" w:hAnsi="Calibri"/>
          <w:b/>
          <w:color w:val="000000"/>
          <w:sz w:val="26"/>
        </w:rPr>
        <w:t>5. Verification &amp; Testing</w:t>
      </w:r>
    </w:p>
    <w:p>
      <w:pPr>
        <w:spacing w:before="0" w:after="80" w:line="276" w:lineRule="auto"/>
      </w:pPr>
      <w:r>
        <w:rPr>
          <w:rFonts w:ascii="Calibri" w:hAnsi="Calibri"/>
          <w:color w:val="000000"/>
          <w:sz w:val="21"/>
        </w:rPr>
        <w:t>The end-to-end pipeline was validated through automated tests covering all functional and edge-case requirements:</w:t>
      </w:r>
    </w:p>
    <w:p>
      <w:pPr>
        <w:pStyle w:val="ListBullet"/>
        <w:spacing w:before="0" w:after="50" w:line="276" w:lineRule="auto"/>
      </w:pPr>
      <w:r>
        <w:rPr>
          <w:rFonts w:ascii="Calibri" w:hAnsi="Calibri"/>
          <w:b/>
          <w:color w:val="000000"/>
          <w:sz w:val="20"/>
        </w:rPr>
        <w:t xml:space="preserve">12/12 Knowledge Base Scenarios: </w:t>
      </w:r>
      <w:r>
        <w:rPr>
          <w:rFonts w:ascii="Calibri" w:hAnsi="Calibri"/>
          <w:color w:val="000000"/>
          <w:sz w:val="20"/>
        </w:rPr>
        <w:t>All 12 articles across authentication, database, network, file, and platform categories were tested end-to-end. The retrieval pipeline successfully matched and resolved every scenario with 100% accuracy.</w:t>
      </w:r>
    </w:p>
    <w:p>
      <w:pPr>
        <w:pStyle w:val="ListBullet"/>
        <w:spacing w:before="0" w:after="50" w:line="276" w:lineRule="auto"/>
      </w:pPr>
      <w:r>
        <w:rPr>
          <w:rFonts w:ascii="Calibri" w:hAnsi="Calibri"/>
          <w:b/>
          <w:color w:val="000000"/>
          <w:sz w:val="20"/>
        </w:rPr>
        <w:t xml:space="preserve">Robustness Across 60 Variations: </w:t>
      </w:r>
      <w:r>
        <w:rPr>
          <w:rFonts w:ascii="Calibri" w:hAnsi="Calibri"/>
          <w:color w:val="000000"/>
          <w:sz w:val="20"/>
        </w:rPr>
        <w:t>The pipeline was tested against 60 synthetic screenshots simulating real-world conditions: high-contrast light mode, dark mode, low resolution downscaling, Gaussian defocus blur, cluttered interfaces with unrelated menus, and screenshots with no error code. In all cases, the pipeline either correctly extracted the issue or safely triggered the fallback circuit breaker.</w:t>
      </w:r>
    </w:p>
    <w:p>
      <w:pPr>
        <w:pStyle w:val="ListBullet"/>
        <w:spacing w:before="0" w:after="50" w:line="276" w:lineRule="auto"/>
      </w:pPr>
      <w:r>
        <w:rPr>
          <w:rFonts w:ascii="Calibri" w:hAnsi="Calibri"/>
          <w:b/>
          <w:color w:val="000000"/>
          <w:sz w:val="20"/>
        </w:rPr>
        <w:t xml:space="preserve">24/24 Automated Tests Passing: </w:t>
      </w:r>
      <w:r>
        <w:rPr>
          <w:rFonts w:ascii="Calibri" w:hAnsi="Calibri"/>
          <w:color w:val="000000"/>
          <w:sz w:val="20"/>
        </w:rPr>
        <w:t>24 automated unit and integration tests verify the image codec, spatial reading order, regex entity extractor, privacy scrubber, vector ingestion, and FastAPI endpoints.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