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color w:val="000000"/>
          <w:sz w:val="22"/>
          <w:szCs w:val="22"/>
        </w:rPr>
        <w:t xml:space="preserve"/>
      </w:r>
    </w:p>
    <w:p>
      <w:pPr>
        <w:spacing w:after="100" w:before="0"/>
        <w:jc w:val="center"/>
      </w:pPr>
      <w:r>
        <w:rPr>
          <w:rFonts w:ascii="Arial" w:cs="Arial" w:eastAsia="Arial" w:hAnsi="Arial"/>
          <w:b/>
          <w:bCs/>
          <w:color w:val="1A3A5C"/>
          <w:sz w:val="48"/>
          <w:szCs w:val="48"/>
        </w:rPr>
        <w:t xml:space="preserve">ANOMALY DETECTION &amp; EXPLAINABILITY REPORT</w:t>
      </w:r>
    </w:p>
    <w:p>
      <w:pPr>
        <w:pBdr>
          <w:bottom w:val="single" w:color="2E75B6" w:sz="8" w:space="4"/>
        </w:pBdr>
        <w:spacing w:after="200" w:before="0"/>
        <w:jc w:val="center"/>
      </w:pPr>
      <w:r>
        <w:rPr>
          <w:rFonts w:ascii="Arial" w:cs="Arial" w:eastAsia="Arial" w:hAnsi="Arial"/>
          <w:i/>
          <w:iCs/>
          <w:color w:val="2E75B6"/>
          <w:sz w:val="28"/>
          <w:szCs w:val="28"/>
        </w:rPr>
        <w:t xml:space="preserve">Integrated Attribution, Integrated Gradients &amp; TimeSHAP Analysis</w:t>
      </w:r>
    </w:p>
    <w:p>
      <w:pPr>
        <w:spacing w:after="0" w:before="120"/>
      </w:pPr>
      <w:r>
        <w:rPr>
          <w:rFonts w:ascii="Arial" w:cs="Arial" w:eastAsia="Arial" w:hAnsi="Arial"/>
          <w:color w:val="000000"/>
          <w:sz w:val="22"/>
          <w:szCs w:val="22"/>
        </w:rPr>
        <w:t xml:space="preserve"/>
      </w:r>
    </w:p>
    <w:p>
      <w:pPr>
        <w:spacing w:after="60" w:before="0"/>
        <w:jc w:val="center"/>
      </w:pPr>
      <w:r>
        <w:rPr>
          <w:rFonts w:ascii="Arial" w:cs="Arial" w:eastAsia="Arial" w:hAnsi="Arial"/>
          <w:color w:val="595959"/>
          <w:sz w:val="26"/>
          <w:szCs w:val="26"/>
        </w:rPr>
        <w:t xml:space="preserve">Models: Anomaly Transformer (AT)  ·  TimesNet + TranAD</w:t>
      </w:r>
    </w:p>
    <w:p>
      <w:pPr>
        <w:spacing w:after="60" w:before="0"/>
        <w:jc w:val="center"/>
      </w:pPr>
      <w:r>
        <w:rPr>
          <w:rFonts w:ascii="Arial" w:cs="Arial" w:eastAsia="Arial" w:hAnsi="Arial"/>
          <w:color w:val="595959"/>
          <w:sz w:val="26"/>
          <w:szCs w:val="26"/>
        </w:rPr>
        <w:t xml:space="preserve">Tickers: NVDA  ·  TSLA  ·  INTC</w:t>
      </w:r>
    </w:p>
    <w:p>
      <w:pPr>
        <w:spacing w:after="0" w:before="40"/>
        <w:jc w:val="center"/>
      </w:pPr>
      <w:r>
        <w:rPr>
          <w:rFonts w:ascii="Arial" w:cs="Arial" w:eastAsia="Arial" w:hAnsi="Arial"/>
          <w:i/>
          <w:iCs/>
          <w:color w:val="595959"/>
          <w:sz w:val="22"/>
          <w:szCs w:val="22"/>
        </w:rPr>
        <w:t xml:space="preserve">XAI Techniques: Integrated Gradients (Captum)  ·  TimeSHAP (Monte Carlo Shapley)</w:t>
      </w:r>
    </w:p>
    <w:p>
      <w:r>
        <w:br w:type="page"/>
      </w:r>
    </w:p>
    <w:p>
      <w:pPr>
        <w:pStyle w:val="Heading1"/>
        <w:spacing w:after="120" w:before="360"/>
      </w:pPr>
      <w:r>
        <w:rPr>
          <w:rFonts w:ascii="Arial" w:cs="Arial" w:eastAsia="Arial" w:hAnsi="Arial"/>
          <w:b/>
          <w:bCs/>
          <w:color w:val="1A3A5C"/>
          <w:sz w:val="36"/>
          <w:szCs w:val="36"/>
        </w:rPr>
        <w:t xml:space="preserve">1. Executive Summary</w:t>
      </w:r>
    </w:p>
    <w:p>
      <w:pPr>
        <w:spacing w:after="60" w:before="60"/>
      </w:pPr>
      <w:r>
        <w:rPr>
          <w:rFonts w:ascii="Arial" w:cs="Arial" w:eastAsia="Arial" w:hAnsi="Arial"/>
          <w:color w:val="000000"/>
          <w:sz w:val="22"/>
          <w:szCs w:val="22"/>
        </w:rPr>
        <w:t xml:space="preserve">This report presents a unified analysis of anomalous price events detected by two deep-learning time-series models — Anomaly Transformer (AT) and TranAD — across NVDA, TSLA, and INTC. Each flagged event is examined from three complementary perspectives: (1) an LLM-based news attribution pipeline that identifies the real-world catalysts driving the anomaly, (2) Integrated Gradients (IG) via Captum, which reveals which engineered features the model was most sensitive to at the moment of detection, and (3) Monte Carlo TimeSHAP, which decomposes the anomaly score into per-timestep Shapley values to reveal the temporal structure of each event.</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BFBFBF" w:sz="1"/>
              <w:bottom w:val="single" w:color="BFBFBF" w:sz="1"/>
              <w:right w:val="single" w:color="BFBFBF" w:sz="1"/>
            </w:tcBorders>
            <w:shd w:fill="D6E4F0" w:val="clear"/>
            <w:tcMar>
              <w:top w:type="dxa" w:w="80"/>
              <w:left w:type="dxa" w:w="120"/>
              <w:bottom w:type="dxa" w:w="80"/>
              <w:right w:type="dxa" w:w="120"/>
            </w:tcMar>
          </w:tcPr>
          <w:p>
            <w:pPr>
              <w:spacing w:after="40" w:before="0"/>
            </w:pPr>
            <w:r>
              <w:rPr>
                <w:rFonts w:ascii="Arial" w:cs="Arial" w:eastAsia="Arial" w:hAnsi="Arial"/>
                <w:color w:val="2E75B6"/>
                <w:sz w:val="18"/>
                <w:szCs w:val="18"/>
              </w:rPr>
              <w:t xml:space="preserve">Total events analysed</w:t>
            </w:r>
          </w:p>
          <w:p>
            <w:pPr>
              <w:spacing w:after="0" w:before="0"/>
            </w:pPr>
            <w:r>
              <w:rPr>
                <w:rFonts w:ascii="Arial" w:cs="Arial" w:eastAsia="Arial" w:hAnsi="Arial"/>
                <w:b/>
                <w:bCs/>
                <w:color w:val="2E75B6"/>
                <w:sz w:val="26"/>
                <w:szCs w:val="26"/>
              </w:rPr>
              <w:t xml:space="preserve">60</w:t>
            </w:r>
          </w:p>
        </w:tc>
        <w:tc>
          <w:tcPr>
            <w:tcW w:type="dxa" w:w="2340"/>
            <w:tcBorders>
              <w:top w:val="single" w:color="1E7A3E" w:sz="4"/>
              <w:left w:val="single" w:color="BFBFBF" w:sz="1"/>
              <w:bottom w:val="single" w:color="BFBFBF" w:sz="1"/>
              <w:right w:val="single" w:color="BFBFBF" w:sz="1"/>
            </w:tcBorders>
            <w:shd w:fill="E2EFDA" w:val="clear"/>
            <w:tcMar>
              <w:top w:type="dxa" w:w="80"/>
              <w:left w:type="dxa" w:w="120"/>
              <w:bottom w:type="dxa" w:w="80"/>
              <w:right w:type="dxa" w:w="120"/>
            </w:tcMar>
          </w:tcPr>
          <w:p>
            <w:pPr>
              <w:spacing w:after="40" w:before="0"/>
            </w:pPr>
            <w:r>
              <w:rPr>
                <w:rFonts w:ascii="Arial" w:cs="Arial" w:eastAsia="Arial" w:hAnsi="Arial"/>
                <w:color w:val="1E7A3E"/>
                <w:sz w:val="18"/>
                <w:szCs w:val="18"/>
              </w:rPr>
              <w:t xml:space="preserve">IG top feature (AT)</w:t>
            </w:r>
          </w:p>
          <w:p>
            <w:pPr>
              <w:spacing w:after="0" w:before="0"/>
            </w:pPr>
            <w:r>
              <w:rPr>
                <w:rFonts w:ascii="Arial" w:cs="Arial" w:eastAsia="Arial" w:hAnsi="Arial"/>
                <w:b/>
                <w:bCs/>
                <w:color w:val="1E7A3E"/>
                <w:sz w:val="26"/>
                <w:szCs w:val="26"/>
              </w:rPr>
              <w:t xml:space="preserve">MACD-H</w:t>
            </w:r>
          </w:p>
        </w:tc>
        <w:tc>
          <w:tcPr>
            <w:tcW w:type="dxa" w:w="2340"/>
            <w:tcBorders>
              <w:top w:val="single" w:color="C55A11" w:sz="4"/>
              <w:left w:val="single" w:color="BFBFBF" w:sz="1"/>
              <w:bottom w:val="single" w:color="BFBFBF" w:sz="1"/>
              <w:right w:val="single" w:color="BFBFBF" w:sz="1"/>
            </w:tcBorders>
            <w:shd w:fill="FFF2CC" w:val="clear"/>
            <w:tcMar>
              <w:top w:type="dxa" w:w="80"/>
              <w:left w:type="dxa" w:w="120"/>
              <w:bottom w:type="dxa" w:w="80"/>
              <w:right w:type="dxa" w:w="120"/>
            </w:tcMar>
          </w:tcPr>
          <w:p>
            <w:pPr>
              <w:spacing w:after="40" w:before="0"/>
            </w:pPr>
            <w:r>
              <w:rPr>
                <w:rFonts w:ascii="Arial" w:cs="Arial" w:eastAsia="Arial" w:hAnsi="Arial"/>
                <w:color w:val="C55A11"/>
                <w:sz w:val="18"/>
                <w:szCs w:val="18"/>
              </w:rPr>
              <w:t xml:space="preserve">Avg TranAD recency</w:t>
            </w:r>
          </w:p>
          <w:p>
            <w:pPr>
              <w:spacing w:after="0" w:before="0"/>
            </w:pPr>
            <w:r>
              <w:rPr>
                <w:rFonts w:ascii="Arial" w:cs="Arial" w:eastAsia="Arial" w:hAnsi="Arial"/>
                <w:b/>
                <w:bCs/>
                <w:color w:val="C55A11"/>
                <w:sz w:val="26"/>
                <w:szCs w:val="26"/>
              </w:rPr>
              <w:t xml:space="preserve">70%</w:t>
            </w:r>
          </w:p>
        </w:tc>
        <w:tc>
          <w:tcPr>
            <w:tcW w:type="dxa" w:w="2340"/>
            <w:tcBorders>
              <w:top w:val="single" w:color="5B2C6F" w:sz="4"/>
              <w:left w:val="single" w:color="BFBFBF" w:sz="1"/>
              <w:bottom w:val="single" w:color="BFBFBF" w:sz="1"/>
              <w:right w:val="single" w:color="BFBFBF" w:sz="1"/>
            </w:tcBorders>
            <w:shd w:fill="EAE4F7" w:val="clear"/>
            <w:tcMar>
              <w:top w:type="dxa" w:w="80"/>
              <w:left w:type="dxa" w:w="120"/>
              <w:bottom w:type="dxa" w:w="80"/>
              <w:right w:type="dxa" w:w="120"/>
            </w:tcMar>
          </w:tcPr>
          <w:p>
            <w:pPr>
              <w:spacing w:after="40" w:before="0"/>
            </w:pPr>
            <w:r>
              <w:rPr>
                <w:rFonts w:ascii="Arial" w:cs="Arial" w:eastAsia="Arial" w:hAnsi="Arial"/>
                <w:color w:val="5B2C6F"/>
                <w:sz w:val="18"/>
                <w:szCs w:val="18"/>
              </w:rPr>
              <w:t xml:space="preserve">Avg AT recency</w:t>
            </w:r>
          </w:p>
          <w:p>
            <w:pPr>
              <w:spacing w:after="0" w:before="0"/>
            </w:pPr>
            <w:r>
              <w:rPr>
                <w:rFonts w:ascii="Arial" w:cs="Arial" w:eastAsia="Arial" w:hAnsi="Arial"/>
                <w:b/>
                <w:bCs/>
                <w:color w:val="5B2C6F"/>
                <w:sz w:val="26"/>
                <w:szCs w:val="26"/>
              </w:rPr>
              <w:t xml:space="preserve">28%</w:t>
            </w:r>
          </w:p>
        </w:tc>
      </w:tr>
    </w:tbl>
    <w:p>
      <w:pPr>
        <w:spacing w:after="0" w:before="8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The six principal findings from the combined analysis are:</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2E75B6"/>
          <w:sz w:val="22"/>
          <w:szCs w:val="22"/>
        </w:rPr>
        <w:t xml:space="preserve">MACD histogram (f7) is the dominant detection feature for AT</w:t>
      </w:r>
      <w:r>
        <w:rPr>
          <w:rFonts w:ascii="Arial" w:cs="Arial" w:eastAsia="Arial" w:hAnsi="Arial"/>
          <w:color w:val="000000"/>
          <w:sz w:val="22"/>
          <w:szCs w:val="22"/>
        </w:rPr>
        <w:t xml:space="preserve"> across virtually all tickers and events. This indicates both models anchor their detection primarily on momentum divergence rather than raw price returns or volume.</w:t>
      </w:r>
    </w:p>
    <w:p>
      <w:pPr>
        <w:pStyle w:val="ListParagraph"/>
        <w:numPr>
          <w:ilvl w:val="0"/>
          <w:numId w:val="2"/>
        </w:numPr>
        <w:spacing w:after="40" w:before="40"/>
      </w:pPr>
      <w:r>
        <w:rPr>
          <w:rFonts w:ascii="Arial" w:cs="Arial" w:eastAsia="Arial" w:hAnsi="Arial"/>
          <w:b/>
          <w:bCs/>
          <w:color w:val="C55A11"/>
          <w:sz w:val="22"/>
          <w:szCs w:val="22"/>
        </w:rPr>
        <w:t xml:space="preserve">TranAD exhibits extreme terminal-state focus</w:t>
      </w:r>
      <w:r>
        <w:rPr>
          <w:rFonts w:ascii="Arial" w:cs="Arial" w:eastAsia="Arial" w:hAnsi="Arial"/>
          <w:color w:val="000000"/>
          <w:sz w:val="22"/>
          <w:szCs w:val="22"/>
        </w:rPr>
        <w:t xml:space="preserve">: the final timestep (t=95) carries Shapley values one to two orders of magnitude larger than any other position, with an average recency concentration of 71%. AT distributes attention across the full window (average recency 26%), confirming their architecturally distinct temporal receptive fields.</w:t>
      </w:r>
    </w:p>
    <w:p>
      <w:pPr>
        <w:pStyle w:val="ListParagraph"/>
        <w:numPr>
          <w:ilvl w:val="0"/>
          <w:numId w:val="2"/>
        </w:numPr>
        <w:spacing w:after="40" w:before="40"/>
      </w:pPr>
      <w:r>
        <w:rPr>
          <w:rFonts w:ascii="Arial" w:cs="Arial" w:eastAsia="Arial" w:hAnsi="Arial"/>
          <w:b/>
          <w:bCs/>
          <w:color w:val="1E7A3E"/>
          <w:sz w:val="22"/>
          <w:szCs w:val="22"/>
        </w:rPr>
        <w:t xml:space="preserve">IG magnitude scales with anomaly severity</w:t>
      </w:r>
      <w:r>
        <w:rPr>
          <w:rFonts w:ascii="Arial" w:cs="Arial" w:eastAsia="Arial" w:hAnsi="Arial"/>
          <w:color w:val="000000"/>
          <w:sz w:val="22"/>
          <w:szCs w:val="22"/>
        </w:rPr>
        <w:t xml:space="preserve">: AT IG values cluster in the range 0.000001–0.000165 while TranAD IG values reach 0.35+, reflecting TranAD's adversarial amplification of reconstruction error into much stronger gradient signals.</w:t>
      </w:r>
    </w:p>
    <w:p>
      <w:pPr>
        <w:pStyle w:val="ListParagraph"/>
        <w:numPr>
          <w:ilvl w:val="0"/>
          <w:numId w:val="2"/>
        </w:numPr>
        <w:spacing w:after="40" w:before="40"/>
      </w:pPr>
      <w:r>
        <w:rPr>
          <w:rFonts w:ascii="Arial" w:cs="Arial" w:eastAsia="Arial" w:hAnsi="Arial"/>
          <w:b/>
          <w:bCs/>
          <w:color w:val="5B2C6F"/>
          <w:sz w:val="22"/>
          <w:szCs w:val="22"/>
        </w:rPr>
        <w:t xml:space="preserve">INTC shows a distinct feature profile</w:t>
      </w:r>
      <w:r>
        <w:rPr>
          <w:rFonts w:ascii="Arial" w:cs="Arial" w:eastAsia="Arial" w:hAnsi="Arial"/>
          <w:color w:val="000000"/>
          <w:sz w:val="22"/>
          <w:szCs w:val="22"/>
        </w:rPr>
        <w:t xml:space="preserve">: unlike NVDA and TSLA where MACD histogram dominates, TranAD's INTC events are led by relative return (f5_rel_ret), gap return (f2_gap_ret) and volume z-score (f4_vol_z). This reflects Intel's anomaly type — earnings-driven gap shocks — versus the momentum-sustained breakouts typical of NVDA/TSLA.</w:t>
      </w:r>
    </w:p>
    <w:p>
      <w:pPr>
        <w:pStyle w:val="ListParagraph"/>
        <w:numPr>
          <w:ilvl w:val="0"/>
          <w:numId w:val="2"/>
        </w:numPr>
        <w:spacing w:after="40" w:before="40"/>
      </w:pPr>
      <w:r>
        <w:rPr>
          <w:rFonts w:ascii="Arial" w:cs="Arial" w:eastAsia="Arial" w:hAnsi="Arial"/>
          <w:b/>
          <w:bCs/>
          <w:color w:val="C00000"/>
          <w:sz w:val="22"/>
          <w:szCs w:val="22"/>
        </w:rPr>
        <w:t xml:space="preserve">A gradient saturation anomaly was identified</w:t>
      </w:r>
      <w:r>
        <w:rPr>
          <w:rFonts w:ascii="Arial" w:cs="Arial" w:eastAsia="Arial" w:hAnsi="Arial"/>
          <w:color w:val="000000"/>
          <w:sz w:val="22"/>
          <w:szCs w:val="22"/>
        </w:rPr>
        <w:t xml:space="preserve"> in AT's INTC 2024-08-02 event, where all IG values collapse to near-zero (max 1e-6). This indicates the AT detection path for this specific event does not produce meaningful gradients — a known limitation of the Association Discrepancy mechanism under certain sequence conditions — and warrants further investigation.</w:t>
      </w:r>
    </w:p>
    <w:p>
      <w:r>
        <w:br w:type="page"/>
      </w:r>
    </w:p>
    <w:p>
      <w:pPr>
        <w:pStyle w:val="Heading1"/>
        <w:spacing w:after="120" w:before="360"/>
      </w:pPr>
      <w:r>
        <w:rPr>
          <w:rFonts w:ascii="Arial" w:cs="Arial" w:eastAsia="Arial" w:hAnsi="Arial"/>
          <w:b/>
          <w:bCs/>
          <w:color w:val="1A3A5C"/>
          <w:sz w:val="36"/>
          <w:szCs w:val="36"/>
        </w:rPr>
        <w:t xml:space="preserve">2. Methodology</w:t>
      </w:r>
    </w:p>
    <w:p>
      <w:pPr>
        <w:pStyle w:val="Heading3"/>
        <w:spacing w:after="60" w:before="200"/>
      </w:pPr>
      <w:r>
        <w:rPr>
          <w:rFonts w:ascii="Arial" w:cs="Arial" w:eastAsia="Arial" w:hAnsi="Arial"/>
          <w:b/>
          <w:bCs/>
          <w:color w:val="1A3A5C"/>
          <w:sz w:val="24"/>
          <w:szCs w:val="24"/>
        </w:rPr>
        <w:t xml:space="preserve">2.1 Feature Set</w:t>
      </w:r>
    </w:p>
    <w:p>
      <w:pPr>
        <w:spacing w:after="60" w:before="60"/>
      </w:pPr>
      <w:r>
        <w:rPr>
          <w:rFonts w:ascii="Arial" w:cs="Arial" w:eastAsia="Arial" w:hAnsi="Arial"/>
          <w:color w:val="000000"/>
          <w:sz w:val="22"/>
          <w:szCs w:val="22"/>
        </w:rPr>
        <w:t xml:space="preserve">All models operate on an 8-feature engineered panel computed daily from OHLCV data. Each feature captures a distinct dimension of market behaviour:</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1A3A5C"/>
          <w:sz w:val="22"/>
          <w:szCs w:val="22"/>
        </w:rPr>
        <w:t xml:space="preserve">f1_log_ret: </w:t>
      </w:r>
      <w:r>
        <w:rPr>
          <w:rFonts w:ascii="Arial" w:cs="Arial" w:eastAsia="Arial" w:hAnsi="Arial"/>
          <w:color w:val="000000"/>
          <w:sz w:val="22"/>
          <w:szCs w:val="22"/>
        </w:rPr>
        <w:t xml:space="preserve">log return</w:t>
      </w:r>
    </w:p>
    <w:p>
      <w:pPr>
        <w:pStyle w:val="ListParagraph"/>
        <w:numPr>
          <w:ilvl w:val="0"/>
          <w:numId w:val="2"/>
        </w:numPr>
        <w:spacing w:after="40" w:before="40"/>
      </w:pPr>
      <w:r>
        <w:rPr>
          <w:rFonts w:ascii="Arial" w:cs="Arial" w:eastAsia="Arial" w:hAnsi="Arial"/>
          <w:b/>
          <w:bCs/>
          <w:color w:val="1A3A5C"/>
          <w:sz w:val="22"/>
          <w:szCs w:val="22"/>
        </w:rPr>
        <w:t xml:space="preserve">f2_gap_ret: </w:t>
      </w:r>
      <w:r>
        <w:rPr>
          <w:rFonts w:ascii="Arial" w:cs="Arial" w:eastAsia="Arial" w:hAnsi="Arial"/>
          <w:color w:val="000000"/>
          <w:sz w:val="22"/>
          <w:szCs w:val="22"/>
        </w:rPr>
        <w:t xml:space="preserve">overnight gap return</w:t>
      </w:r>
    </w:p>
    <w:p>
      <w:pPr>
        <w:pStyle w:val="ListParagraph"/>
        <w:numPr>
          <w:ilvl w:val="0"/>
          <w:numId w:val="2"/>
        </w:numPr>
        <w:spacing w:after="40" w:before="40"/>
      </w:pPr>
      <w:r>
        <w:rPr>
          <w:rFonts w:ascii="Arial" w:cs="Arial" w:eastAsia="Arial" w:hAnsi="Arial"/>
          <w:b/>
          <w:bCs/>
          <w:color w:val="1A3A5C"/>
          <w:sz w:val="22"/>
          <w:szCs w:val="22"/>
        </w:rPr>
        <w:t xml:space="preserve">f3_parkinson: </w:t>
      </w:r>
      <w:r>
        <w:rPr>
          <w:rFonts w:ascii="Arial" w:cs="Arial" w:eastAsia="Arial" w:hAnsi="Arial"/>
          <w:color w:val="000000"/>
          <w:sz w:val="22"/>
          <w:szCs w:val="22"/>
        </w:rPr>
        <w:t xml:space="preserve">Parkinson volatility</w:t>
      </w:r>
    </w:p>
    <w:p>
      <w:pPr>
        <w:pStyle w:val="ListParagraph"/>
        <w:numPr>
          <w:ilvl w:val="0"/>
          <w:numId w:val="2"/>
        </w:numPr>
        <w:spacing w:after="40" w:before="40"/>
      </w:pPr>
      <w:r>
        <w:rPr>
          <w:rFonts w:ascii="Arial" w:cs="Arial" w:eastAsia="Arial" w:hAnsi="Arial"/>
          <w:b/>
          <w:bCs/>
          <w:color w:val="1A3A5C"/>
          <w:sz w:val="22"/>
          <w:szCs w:val="22"/>
        </w:rPr>
        <w:t xml:space="preserve">f4_vol_z: </w:t>
      </w:r>
      <w:r>
        <w:rPr>
          <w:rFonts w:ascii="Arial" w:cs="Arial" w:eastAsia="Arial" w:hAnsi="Arial"/>
          <w:color w:val="000000"/>
          <w:sz w:val="22"/>
          <w:szCs w:val="22"/>
        </w:rPr>
        <w:t xml:space="preserve">volume z-score</w:t>
      </w:r>
    </w:p>
    <w:p>
      <w:pPr>
        <w:pStyle w:val="ListParagraph"/>
        <w:numPr>
          <w:ilvl w:val="0"/>
          <w:numId w:val="2"/>
        </w:numPr>
        <w:spacing w:after="40" w:before="40"/>
      </w:pPr>
      <w:r>
        <w:rPr>
          <w:rFonts w:ascii="Arial" w:cs="Arial" w:eastAsia="Arial" w:hAnsi="Arial"/>
          <w:b/>
          <w:bCs/>
          <w:color w:val="1A3A5C"/>
          <w:sz w:val="22"/>
          <w:szCs w:val="22"/>
        </w:rPr>
        <w:t xml:space="preserve">f5_rel_ret: </w:t>
      </w:r>
      <w:r>
        <w:rPr>
          <w:rFonts w:ascii="Arial" w:cs="Arial" w:eastAsia="Arial" w:hAnsi="Arial"/>
          <w:color w:val="000000"/>
          <w:sz w:val="22"/>
          <w:szCs w:val="22"/>
        </w:rPr>
        <w:t xml:space="preserve">relative return (vs market)</w:t>
      </w:r>
    </w:p>
    <w:p>
      <w:pPr>
        <w:pStyle w:val="ListParagraph"/>
        <w:numPr>
          <w:ilvl w:val="0"/>
          <w:numId w:val="2"/>
        </w:numPr>
        <w:spacing w:after="40" w:before="40"/>
      </w:pPr>
      <w:r>
        <w:rPr>
          <w:rFonts w:ascii="Arial" w:cs="Arial" w:eastAsia="Arial" w:hAnsi="Arial"/>
          <w:b/>
          <w:bCs/>
          <w:color w:val="1A3A5C"/>
          <w:sz w:val="22"/>
          <w:szCs w:val="22"/>
        </w:rPr>
        <w:t xml:space="preserve">f6_rsi_14: </w:t>
      </w:r>
      <w:r>
        <w:rPr>
          <w:rFonts w:ascii="Arial" w:cs="Arial" w:eastAsia="Arial" w:hAnsi="Arial"/>
          <w:color w:val="000000"/>
          <w:sz w:val="22"/>
          <w:szCs w:val="22"/>
        </w:rPr>
        <w:t xml:space="preserve">RSI-14</w:t>
      </w:r>
    </w:p>
    <w:p>
      <w:pPr>
        <w:pStyle w:val="ListParagraph"/>
        <w:numPr>
          <w:ilvl w:val="0"/>
          <w:numId w:val="2"/>
        </w:numPr>
        <w:spacing w:after="40" w:before="40"/>
      </w:pPr>
      <w:r>
        <w:rPr>
          <w:rFonts w:ascii="Arial" w:cs="Arial" w:eastAsia="Arial" w:hAnsi="Arial"/>
          <w:b/>
          <w:bCs/>
          <w:color w:val="1A3A5C"/>
          <w:sz w:val="22"/>
          <w:szCs w:val="22"/>
        </w:rPr>
        <w:t xml:space="preserve">f7_macd_hist: </w:t>
      </w:r>
      <w:r>
        <w:rPr>
          <w:rFonts w:ascii="Arial" w:cs="Arial" w:eastAsia="Arial" w:hAnsi="Arial"/>
          <w:color w:val="000000"/>
          <w:sz w:val="22"/>
          <w:szCs w:val="22"/>
        </w:rPr>
        <w:t xml:space="preserve">MACD histogram</w:t>
      </w:r>
    </w:p>
    <w:p>
      <w:pPr>
        <w:pStyle w:val="ListParagraph"/>
        <w:numPr>
          <w:ilvl w:val="0"/>
          <w:numId w:val="2"/>
        </w:numPr>
        <w:spacing w:after="40" w:before="40"/>
      </w:pPr>
      <w:r>
        <w:rPr>
          <w:rFonts w:ascii="Arial" w:cs="Arial" w:eastAsia="Arial" w:hAnsi="Arial"/>
          <w:b/>
          <w:bCs/>
          <w:color w:val="1A3A5C"/>
          <w:sz w:val="22"/>
          <w:szCs w:val="22"/>
        </w:rPr>
        <w:t xml:space="preserve">f8_bb_width: </w:t>
      </w:r>
      <w:r>
        <w:rPr>
          <w:rFonts w:ascii="Arial" w:cs="Arial" w:eastAsia="Arial" w:hAnsi="Arial"/>
          <w:color w:val="000000"/>
          <w:sz w:val="22"/>
          <w:szCs w:val="22"/>
        </w:rPr>
        <w:t xml:space="preserve">Bollinger Band width</w:t>
      </w:r>
    </w:p>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2.2 Integrated Gradients</w:t>
      </w:r>
    </w:p>
    <w:p>
      <w:pPr>
        <w:spacing w:after="60" w:before="60"/>
      </w:pPr>
      <w:r>
        <w:rPr>
          <w:rFonts w:ascii="Arial" w:cs="Arial" w:eastAsia="Arial" w:hAnsi="Arial"/>
          <w:color w:val="000000"/>
          <w:sz w:val="22"/>
          <w:szCs w:val="22"/>
        </w:rPr>
        <w:t xml:space="preserve">IG (Sundararajan et al., 2017) attributes a model's output to its input features by integrating gradients along a straight-line path from a baseline to the actual input. With a zero baseline, IG answers the question: "how much does each feature contribute to the anomaly score, relative to a world where all features are zero?" The implementation uses Captum's IntegratedGradients with n_steps=100 and internal_batch_size=1 to avoid GPU memory overflow on long sequences. Feature-level attributions are aggregated by mean absolute value across the temporal window to yield a per-feature importance score.</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6"/>
              <w:bottom w:val="single" w:color="BFBFBF" w:sz="2"/>
              <w:right w:val="single" w:color="BFBFBF" w:sz="2"/>
            </w:tcBorders>
            <w:shd w:fill="FFF2CC" w:val="clear"/>
            <w:tcMar>
              <w:top w:type="dxa" w:w="100"/>
              <w:left w:type="dxa" w:w="160"/>
              <w:bottom w:type="dxa" w:w="100"/>
              <w:right w:type="dxa" w:w="120"/>
            </w:tcMar>
          </w:tcPr>
          <w:p>
            <w:pPr>
              <w:spacing w:after="40" w:before="0"/>
            </w:pPr>
            <w:r>
              <w:rPr>
                <w:rFonts w:ascii="Arial" w:cs="Arial" w:eastAsia="Arial" w:hAnsi="Arial"/>
                <w:b/>
                <w:bCs/>
                <w:color w:val="C55A11"/>
                <w:sz w:val="20"/>
                <w:szCs w:val="20"/>
              </w:rPr>
              <w:t xml:space="preserve">Baseline note</w:t>
            </w:r>
          </w:p>
          <w:p>
            <w:pPr>
              <w:spacing w:after="0" w:before="0"/>
            </w:pPr>
            <w:r>
              <w:rPr>
                <w:rFonts w:ascii="Arial" w:cs="Arial" w:eastAsia="Arial" w:hAnsi="Arial"/>
                <w:color w:val="000000"/>
                <w:sz w:val="20"/>
                <w:szCs w:val="20"/>
              </w:rPr>
              <w:t xml:space="preserve">A zero baseline is used throughout. While computationally convenient, this baseline has no direct economic interpretation — it asks "what if all features were simultaneously zero?" rather than "what changed versus a normal trading day?" Results should be read as relative feature rankings rather than absolute causal claims.</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2.3 TimeSHAP — Monte Carlo Shapley Values</w:t>
      </w:r>
    </w:p>
    <w:p>
      <w:pPr>
        <w:spacing w:after="60" w:before="60"/>
      </w:pPr>
      <w:r>
        <w:rPr>
          <w:rFonts w:ascii="Arial" w:cs="Arial" w:eastAsia="Arial" w:hAnsi="Arial"/>
          <w:color w:val="000000"/>
          <w:sz w:val="22"/>
          <w:szCs w:val="22"/>
        </w:rPr>
        <w:t xml:space="preserve">TimeSHAP decomposes the anomaly score into per-timestep Shapley values φ(t), satisfying the four Shapley axioms (efficiency, symmetry, dummy, additivity) that leave-one-out ablation cannot provide. The estimation algorithm draws n=50 random permutations of all L=96 timesteps. For each permutation, L+1 coalition tensors are constructed: starting from an all-baseline (feature-wise mean) tensor, real observations are revealed one by one in permutation order. The marginal change in anomaly score when timestep t is added credits that timestep's Shapley value. All L+1 forward passes per permutation are batched (inner_batch_size=64) for efficiency. Final values represent the average marginal contribution of each timestep across 50 random orderings.</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b/>
          <w:bCs/>
          <w:color w:val="1A3A5C"/>
          <w:sz w:val="22"/>
          <w:szCs w:val="22"/>
        </w:rPr>
        <w:t xml:space="preserve">Interpreting sign: </w:t>
      </w:r>
      <w:r>
        <w:rPr>
          <w:rFonts w:ascii="Arial" w:cs="Arial" w:eastAsia="Arial" w:hAnsi="Arial"/>
          <w:color w:val="000000"/>
          <w:sz w:val="22"/>
          <w:szCs w:val="22"/>
        </w:rPr>
        <w:t xml:space="preserve">Positive φ(t) means the timestep pushes the model's score upward (toward anomaly). Negative φ(t) means that timestep, when revealed, actually reduces the score — acting as a suppressor or normalising context. The recency concentration metric reports what fraction of total |φ(t)| mass is concentrated in the last 20% of the window (timesteps 76–95), serving as a model-level temporal receptive field indicator.</w:t>
      </w:r>
    </w:p>
    <w:p>
      <w:r>
        <w:br w:type="page"/>
      </w:r>
    </w:p>
    <w:p>
      <w:pPr>
        <w:pStyle w:val="Heading1"/>
        <w:spacing w:after="120" w:before="360"/>
      </w:pPr>
      <w:r>
        <w:rPr>
          <w:rFonts w:ascii="Arial" w:cs="Arial" w:eastAsia="Arial" w:hAnsi="Arial"/>
          <w:b/>
          <w:bCs/>
          <w:color w:val="1A3A5C"/>
          <w:sz w:val="36"/>
          <w:szCs w:val="36"/>
        </w:rPr>
        <w:t xml:space="preserve">3. NVIDIA Corporation (NVDA)</w:t>
      </w:r>
    </w:p>
    <w:p>
      <w:pPr>
        <w:spacing w:after="60" w:before="60"/>
      </w:pPr>
      <w:r>
        <w:rPr>
          <w:rFonts w:ascii="Arial" w:cs="Arial" w:eastAsia="Arial" w:hAnsi="Arial"/>
          <w:color w:val="000000"/>
          <w:sz w:val="22"/>
          <w:szCs w:val="22"/>
        </w:rPr>
        <w:t xml:space="preserve">NVDA generated the highest anomaly score density of the three tickers, spanning events from the COVID-19 crash through the 2025 AI-infrastructure geopolitical cycle. The ticker provides the richest comparative ground between AT and TranAD, with both models flagging multiple events across the same underlying macro narratives from structurally different temporal perspectives.</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3.1 Anomaly Transformer — NVDA</w:t>
      </w:r>
    </w:p>
    <w:p>
      <w:pPr>
        <w:spacing w:after="60" w:before="60"/>
      </w:pPr>
      <w:r>
        <w:rPr>
          <w:rFonts w:ascii="Arial" w:cs="Arial" w:eastAsia="Arial" w:hAnsi="Arial"/>
          <w:color w:val="000000"/>
          <w:sz w:val="22"/>
          <w:szCs w:val="22"/>
        </w:rPr>
        <w:t xml:space="preserve">AT flagged five NVDA events covering the full range of market regimes in the dataset. The score range (0.065–0.827) is the widest in the AT results, with a clear 2× gap between the top event and all others.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2024-08-05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0.8269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(0.000137)</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32.5%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t=91</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+0.002771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Blackwell GPU delays + DOJ antitrust probe + Japan-led global equity rout</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2025-01-27</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0.5102</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(0.000062)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25.6%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t=55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+0.001152</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DeepSeek launch — $593B single-day cap destruction, largest in US history</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2024-05-28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0.2744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(0.000165)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11.7%</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t=69</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+0.009221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xAI Gigafactory (100K H100s) + 10:1 stock split + analyst upgrades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2020-03-16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0.2479</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(0.000011)</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65.4%</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t=90</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+0.000048</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COVID-19 crash — Fed cuts to zero; tech hardware sector-wide rout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2024-05-23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0.1308</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(0.000141)</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t=71</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+0.014098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Q1 FY2025 earnings: 400%+ data centre growth; stock breaks $1,000 barrier</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2015-08-07</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0.0835</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(0.000007)</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16.1%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t=32</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+0.000287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headlines in window — pre-AI era baseline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2022-11-10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0.0653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(0.000005)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26.8%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t=46</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+0.000558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CPI inflation relief rally + China-compliant chip announced; ARK selling + RTX 4090 cable issues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2025-10-29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0.0623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(0.000017)</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18.1%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t=54</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+0.002357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Nokia $1B stake + DoE AI supercomputer contracts + Palantir/Uber/T-Mobile partnerships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2018-11-19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0.0543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f3_parkinson (0.000024)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72.3%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t=78</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+0.000094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Crypto hangover — GPU inventory glut, weak guidance, Goldman removed from conviction list (Buy maintained); 18 months of gains wiped</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2022-01-24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0.0540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(0.000020)</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t=48</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+0.000220</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Fed rate hike fears + Ukraine tensions + Bitcoin flash crash — NVDA -6.6%</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3.1.1 Feature Signal Analysis</w:t>
      </w:r>
    </w:p>
    <w:p>
      <w:pPr>
        <w:spacing w:after="60" w:before="60"/>
      </w:pPr>
      <w:r>
        <w:rPr>
          <w:rFonts w:ascii="Arial" w:cs="Arial" w:eastAsia="Arial" w:hAnsi="Arial"/>
          <w:color w:val="000000"/>
          <w:sz w:val="22"/>
          <w:szCs w:val="22"/>
        </w:rPr>
        <w:t xml:space="preserve">f7_macd_hist is the dominant IG feature across all five NVDA AT events, accounting for the highest absolute attribution in four of five cases. This pattern reveals that AT's association discrepancy mechanism is most sensitive to momentum divergence — the gap between short- and long-term exponential moving averages — rather than raw price returns (f1_log_ret ranks last in three events). The notable exception is the COVID-19 crash (2020-03-16), where f8_bb_width (Bollinger Band width) takes the top position. This shift is interpretively coherent: the COVID crash was a volatility-regime event, not a momentum-divergence event, and Bollinger Band width is a direct measure of volatility expansion.</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E" w:sz="4"/>
              <w:left w:val="thick" w:color="1E7A3E" w:sz="16"/>
              <w:bottom w:val="single" w:color="BFBFBF" w:sz="2"/>
              <w:right w:val="single" w:color="BFBFBF" w:sz="2"/>
            </w:tcBorders>
            <w:shd w:fill="E2EFDA" w:val="clear"/>
            <w:tcMar>
              <w:top w:type="dxa" w:w="100"/>
              <w:left w:type="dxa" w:w="160"/>
              <w:bottom w:type="dxa" w:w="100"/>
              <w:right w:type="dxa" w:w="120"/>
            </w:tcMar>
          </w:tcPr>
          <w:p>
            <w:pPr>
              <w:spacing w:after="40" w:before="0"/>
            </w:pPr>
            <w:r>
              <w:rPr>
                <w:rFonts w:ascii="Arial" w:cs="Arial" w:eastAsia="Arial" w:hAnsi="Arial"/>
                <w:b/>
                <w:bCs/>
                <w:color w:val="1E7A3E"/>
                <w:sz w:val="20"/>
                <w:szCs w:val="20"/>
              </w:rPr>
              <w:t xml:space="preserve">Feature insight — Volatility vs Momentum</w:t>
            </w:r>
          </w:p>
          <w:p>
            <w:pPr>
              <w:spacing w:after="0" w:before="0"/>
            </w:pPr>
            <w:r>
              <w:rPr>
                <w:rFonts w:ascii="Arial" w:cs="Arial" w:eastAsia="Arial" w:hAnsi="Arial"/>
                <w:color w:val="000000"/>
                <w:sz w:val="20"/>
                <w:szCs w:val="20"/>
              </w:rPr>
              <w:t xml:space="preserve">AT's top feature switches from f7_macd_hist (momentum divergence) to f8_bb_width (volatility expansion) exclusively in macro panic events. This is a reliable internal consistency check: the model correctly identifies structurally different anomaly types through different feature pathways.</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3.1.2 Temporal Signal Analysis</w:t>
      </w:r>
    </w:p>
    <w:p>
      <w:pPr>
        <w:spacing w:after="60" w:before="60"/>
      </w:pPr>
      <w:r>
        <w:rPr>
          <w:rFonts w:ascii="Arial" w:cs="Arial" w:eastAsia="Arial" w:hAnsi="Arial"/>
          <w:color w:val="000000"/>
          <w:sz w:val="22"/>
          <w:szCs w:val="22"/>
        </w:rPr>
        <w:t xml:space="preserve">The recency concentration data reveals a striking inverse relationship between event type and how far back in time the model's attention reaches:</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C00000"/>
          <w:sz w:val="22"/>
          <w:szCs w:val="22"/>
        </w:rPr>
        <w:t xml:space="preserve">COVID crash (2020-03-16): 65.4% recency.</w:t>
      </w:r>
      <w:r>
        <w:rPr>
          <w:rFonts w:ascii="Arial" w:cs="Arial" w:eastAsia="Arial" w:hAnsi="Arial"/>
          <w:color w:val="000000"/>
          <w:sz w:val="22"/>
          <w:szCs w:val="22"/>
        </w:rPr>
        <w:t xml:space="preserve"> The highest recency score in the entire AT NVDA set. The crash was an abrupt, sudden event — the model correctly weights the terminal window heavily because the signal appeared with minimal historical buildup.</w:t>
      </w:r>
    </w:p>
    <w:p>
      <w:pPr>
        <w:pStyle w:val="ListParagraph"/>
        <w:numPr>
          <w:ilvl w:val="0"/>
          <w:numId w:val="2"/>
        </w:numPr>
        <w:spacing w:after="40" w:before="40"/>
      </w:pPr>
      <w:r>
        <w:rPr>
          <w:rFonts w:ascii="Arial" w:cs="Arial" w:eastAsia="Arial" w:hAnsi="Arial"/>
          <w:b/>
          <w:bCs/>
          <w:color w:val="C55A11"/>
          <w:sz w:val="22"/>
          <w:szCs w:val="22"/>
        </w:rPr>
        <w:t xml:space="preserve">DeepSeek shock (2025-01-27): 25.6% recency.</w:t>
      </w:r>
      <w:r>
        <w:rPr>
          <w:rFonts w:ascii="Arial" w:cs="Arial" w:eastAsia="Arial" w:hAnsi="Arial"/>
          <w:color w:val="000000"/>
          <w:sz w:val="22"/>
          <w:szCs w:val="22"/>
        </w:rPr>
        <w:t xml:space="preserve"> Moderate recency. TimeSHAP top timesteps are scattered across the window (t=21, t=82, t=5), suggesting AT was reading prior AI-capex narrative tension alongside the immediate shock.</w:t>
      </w:r>
    </w:p>
    <w:p>
      <w:pPr>
        <w:pStyle w:val="ListParagraph"/>
        <w:numPr>
          <w:ilvl w:val="0"/>
          <w:numId w:val="2"/>
        </w:numPr>
        <w:spacing w:after="40" w:before="40"/>
      </w:pPr>
      <w:r>
        <w:rPr>
          <w:rFonts w:ascii="Arial" w:cs="Arial" w:eastAsia="Arial" w:hAnsi="Arial"/>
          <w:b/>
          <w:bCs/>
          <w:color w:val="1E7A3E"/>
          <w:sz w:val="22"/>
          <w:szCs w:val="22"/>
        </w:rPr>
        <w:t xml:space="preserve">Earnings events (2024-05-23: 5.6%, 2024-05-28: 11.7%): very low recency.</w:t>
      </w:r>
      <w:r>
        <w:rPr>
          <w:rFonts w:ascii="Arial" w:cs="Arial" w:eastAsia="Arial" w:hAnsi="Arial"/>
          <w:color w:val="000000"/>
          <w:sz w:val="22"/>
          <w:szCs w:val="22"/>
        </w:rPr>
        <w:t xml:space="preserve"> AT reaches deep into the lookback window, crediting the pre-earnings demand buildup narrative. The dominant Shapley timesteps (t=71, t=69) are in the upper-middle of the window — consistent with several weeks of anticipation rather than a point-in-time shock.</w:t>
      </w:r>
    </w:p>
    <w:p>
      <w:pPr>
        <w:pStyle w:val="ListParagraph"/>
        <w:numPr>
          <w:ilvl w:val="0"/>
          <w:numId w:val="2"/>
        </w:numPr>
        <w:spacing w:after="40" w:before="40"/>
      </w:pPr>
      <w:r>
        <w:rPr>
          <w:rFonts w:ascii="Arial" w:cs="Arial" w:eastAsia="Arial" w:hAnsi="Arial"/>
          <w:b/>
          <w:bCs/>
          <w:color w:val="1A3A5C"/>
          <w:sz w:val="22"/>
          <w:szCs w:val="22"/>
        </w:rPr>
        <w:t xml:space="preserve">August 2024 perfect storm (2024-08-05): 32.5% recency.</w:t>
      </w:r>
      <w:r>
        <w:rPr>
          <w:rFonts w:ascii="Arial" w:cs="Arial" w:eastAsia="Arial" w:hAnsi="Arial"/>
          <w:color w:val="000000"/>
          <w:sz w:val="22"/>
          <w:szCs w:val="22"/>
        </w:rPr>
        <w:t xml:space="preserve"> Despite being the highest-scored AT event, recency is moderate. The model weighted the Blackwell delay news (t=52 dominant) plus the broader anxiety period, not just the final sell-off day. The mid-window concentration at t=46–52 aligns with the news window surrounding the design flaw reports.</w:t>
      </w:r>
    </w:p>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3.2 TranAD (TimesNet + TranAD) — NVDA</w:t>
      </w:r>
    </w:p>
    <w:p>
      <w:pPr>
        <w:spacing w:after="60" w:before="60"/>
      </w:pPr>
      <w:r>
        <w:rPr>
          <w:rFonts w:ascii="Arial" w:cs="Arial" w:eastAsia="Arial" w:hAnsi="Arial"/>
          <w:color w:val="000000"/>
          <w:sz w:val="22"/>
          <w:szCs w:val="22"/>
        </w:rPr>
        <w:t xml:space="preserve">TranAD's five NVDA events span 2023–2025 with dramatically higher scores (2.67–5.02) than AT. The model captures entirely different event dates from AT despite covering overlapping real-world periods, confirming the two models' temporal complementarity. TranAD's highest-scored events cluster in October–November 2025, corresponding to NVDA's $5T market cap milestone window.</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2025-10-29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5.0196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(0.3533)</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78.7%</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+24.283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$5T market cap milestone; Nokia $1B investment; DoE contracts; AI ecosystem expansion</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2025-10-28</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4.2811</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(0.2228)</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73.0%</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+13.380</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Multi-industry AI deployment wins accumulating; pre-earnings momentum surge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2.7950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(0.1342)</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66.6%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t=91</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+1.581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CPI-led market rebound; TSMC-Nvidia-AMD joint venture on Intel factories reported</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2025-03-03</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2.7784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(0.2293)</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71.2%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+6.786</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Tariff shock + China antitrust probe; contrasted by Google $75B capex confirmation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2023-05-25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2.6663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(0.0634)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66.2%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+6.974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Q1 FY2024 AI earnings inflection — 400%+ data centre surge; $300B sector rally</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2025-04-09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2.6440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(0.185382)</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72.2%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-5.553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Trump tariff pause — strongest market day since 2008; H20 chip crackdown reversed; NVDA +15%</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2016-11-11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2.6305</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(0.018328)</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83.3%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+4.094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headlines in window — no headlines in window</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2025-08-20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2.3766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(0.208035)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55.8%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+3.557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China export uncertainty + AI bubble warnings from UBS; Fed minutes extend tech slide; NVDA -3.7%</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2025-02-06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2.3332</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(0.193439)</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81.5%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-6.042</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China antitrust probe + tariff shock vs Google $75B capex; Morgan Stanley 'buy the dip'</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2.1825</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(0.226899)</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76.2%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-6.269</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Trade war selloff — NVDA sheds $1T from peak; CPI rebound + TSMC-Nvidia-AMD Intel JV report</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3.2.1 The t=95 Dominance Pattern</w:t>
      </w:r>
    </w:p>
    <w:p>
      <w:pPr>
        <w:spacing w:after="60" w:before="60"/>
      </w:pPr>
      <w:r>
        <w:rPr>
          <w:rFonts w:ascii="Arial" w:cs="Arial" w:eastAsia="Arial" w:hAnsi="Arial"/>
          <w:b/>
          <w:bCs/>
          <w:color w:val="1A3A5C"/>
          <w:sz w:val="22"/>
          <w:szCs w:val="22"/>
        </w:rPr>
        <w:t xml:space="preserve">t=95 (the final timestep) is the #1 Shapley contributor in four of five TranAD NVDA events</w:t>
      </w:r>
      <w:r>
        <w:rPr>
          <w:rFonts w:ascii="Arial" w:cs="Arial" w:eastAsia="Arial" w:hAnsi="Arial"/>
          <w:color w:val="000000"/>
          <w:sz w:val="22"/>
          <w:szCs w:val="22"/>
        </w:rPr>
        <w:t xml:space="preserve">, with values ranging from +6.79 to +24.28 — consistently dominant by an order of magnitude over the second-ranked timestep. Crucially, the surrounding recent timesteps (t=92–94) frequently carry large negative Shapley values (e.g., Oct 2025: t=94 = −7.21, t=93 = −1.93). This creates a diagnostic "spike-then-suppression" signature unique to TranAD events.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6F" w:sz="4"/>
              <w:left w:val="thick" w:color="5B2C6F" w:sz="16"/>
              <w:bottom w:val="single" w:color="BFBFBF" w:sz="2"/>
              <w:right w:val="single" w:color="BFBFBF" w:sz="2"/>
            </w:tcBorders>
            <w:shd w:fill="EAE4F7" w:val="clear"/>
            <w:tcMar>
              <w:top w:type="dxa" w:w="100"/>
              <w:left w:type="dxa" w:w="160"/>
              <w:bottom w:type="dxa" w:w="100"/>
              <w:right w:type="dxa" w:w="120"/>
            </w:tcMar>
          </w:tcPr>
          <w:p>
            <w:pPr>
              <w:spacing w:after="40" w:before="0"/>
            </w:pPr>
            <w:r>
              <w:rPr>
                <w:rFonts w:ascii="Arial" w:cs="Arial" w:eastAsia="Arial" w:hAnsi="Arial"/>
                <w:b/>
                <w:bCs/>
                <w:color w:val="5B2C6F"/>
                <w:sz w:val="20"/>
                <w:szCs w:val="20"/>
              </w:rPr>
              <w:t xml:space="preserve">Architectural insight — TranAD's terminal focus</w:t>
            </w:r>
          </w:p>
          <w:p>
            <w:pPr>
              <w:spacing w:after="0" w:before="0"/>
            </w:pPr>
            <w:r>
              <w:rPr>
                <w:rFonts w:ascii="Arial" w:cs="Arial" w:eastAsia="Arial" w:hAnsi="Arial"/>
                <w:color w:val="000000"/>
                <w:sz w:val="20"/>
                <w:szCs w:val="20"/>
              </w:rPr>
              <w:t xml:space="preserve">The spike-then-suppression pattern (large positive φ at t=95, large negative φ at t=93–94) reflects TranAD's adversarial second-stage architecture. The model amplifies anomaly score at the terminal state (t=95 captures the "confirmed break") while the preceding recent timesteps act as the comparison baseline against which the terminal deviation is measured. This is not a flaw — it is the mechanism. TranAD is architecturally a "terminal-state anomaly detector" rather than a temporal integrator.</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3.2.2 IG Magnitude Amplification</w:t>
      </w:r>
    </w:p>
    <w:p>
      <w:pPr>
        <w:spacing w:after="60" w:before="60"/>
      </w:pPr>
      <w:r>
        <w:rPr>
          <w:rFonts w:ascii="Arial" w:cs="Arial" w:eastAsia="Arial" w:hAnsi="Arial"/>
          <w:color w:val="000000"/>
          <w:sz w:val="22"/>
          <w:szCs w:val="22"/>
        </w:rPr>
        <w:t xml:space="preserve">TranAD's IG attributions for NVDA are 3–4 orders of magnitude larger than AT's for comparable events. The October 2025 event (score 5.020) produces a top IG value of 0.353 for f7_macd_hist — against AT's peak of 0.000165 for the same feature. Both models agree on feature ranking (f7_macd_hist dominant, f1_log_ret secondary for TranAD) but with dramatically different gradient magnitudes. This amplification is a direct consequence of TranAD's adversarial training objective, which sharpens gradient flow through the reconstruction path for anomalous inputs.</w:t>
      </w:r>
    </w:p>
    <w:p>
      <w:r>
        <w:br w:type="page"/>
      </w:r>
    </w:p>
    <w:p>
      <w:pPr>
        <w:pStyle w:val="Heading1"/>
        <w:spacing w:after="120" w:before="360"/>
      </w:pPr>
      <w:r>
        <w:rPr>
          <w:rFonts w:ascii="Arial" w:cs="Arial" w:eastAsia="Arial" w:hAnsi="Arial"/>
          <w:b/>
          <w:bCs/>
          <w:color w:val="1A3A5C"/>
          <w:sz w:val="36"/>
          <w:szCs w:val="36"/>
        </w:rPr>
        <w:t xml:space="preserve">4. Tesla Inc. (TSLA)</w:t>
      </w:r>
    </w:p>
    <w:p>
      <w:pPr>
        <w:spacing w:after="60" w:before="60"/>
      </w:pPr>
      <w:r>
        <w:rPr>
          <w:rFonts w:ascii="Arial" w:cs="Arial" w:eastAsia="Arial" w:hAnsi="Arial"/>
          <w:color w:val="000000"/>
          <w:sz w:val="22"/>
          <w:szCs w:val="22"/>
        </w:rPr>
        <w:t xml:space="preserve">TSLA's XAI profile is structurally distinct from NVDA in two important ways. First, MACD histogram remains the dominant IG feature across most events, but the margin over secondary features is narrower — suggesting TSLA anomalies are driven by a more diffuse set of signals. Second, TranAD flagged a dense cluster of events around October–November 2021 (the Hertz deal period), resolving individual trading days within a single multi-day momentum event — a capability uniquely suited to TranAD's windowed architecture.</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4.1 Anomaly Transformer — TSLA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2020-03-16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0.2613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(0.000007)</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48.5%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t=68</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-0.000135</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COVID crash — Fed emergency cut to zero; TSLA -15.49% premarket; vehicle demand collapse</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2023-01-26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0.2509</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(0.000007)</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36.1%</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t=75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+0.000151</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Q4 2022 earnings beat; Musk confirms price cuts drove record demand; $3.6B Nevada invest.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0.2450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(0.000030)</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25.4%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t=19</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+0.000458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TSLA -15% worst 5-year drop; European sales -45%; Musk political backlash intensifies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2022-03-28</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0.1923</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(0.000012)</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21.1%</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t=73</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-0.000808</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3-for-1 stock split announcement outweighs Shanghai Gigafactory COVID lockdown news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2025-09-15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0.1841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(0.000099)</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t=26</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+0.002777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Late-2025 TSLA volatility period — macro uncertainty + residual brand overhang</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2021-03-05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0.1387</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(0.000004)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47.0%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t=87</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+0.003292</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Treasury yield spike — $250B cap loss fears; EV market share loss to Ford Mustang Mach-E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0.1094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(0.000005)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t=10</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+0.000090</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Hertz 100K order + $1T milestone + Morgan Stanley PT $1,200 — FSD rollback minor drag</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2024-07-02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0.1070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f4_vol_z (0.000000)</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15.7%</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t=49</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-0.000133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delivery beat — TSLA +10%, +$45B market cap; short-squeeze overwhelms BYD competition fears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2023-10-19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0.0864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(0.000005)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t=31</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+0.000091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Q3 profit -44% on price cuts; Cybertruck 'we dug our own grave'; factory expansion slowed</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2015-08-24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0.0619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f2_gap_ret (0.000004)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57.8%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t=83</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+0.000416</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headlines in window — pre-Autopilot era baseline</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4.1.1 The 2020 COVID Event: RSI at the top</w:t>
      </w:r>
    </w:p>
    <w:p>
      <w:pPr>
        <w:spacing w:after="60" w:before="60"/>
      </w:pPr>
      <w:r>
        <w:rPr>
          <w:rFonts w:ascii="Arial" w:cs="Arial" w:eastAsia="Arial" w:hAnsi="Arial"/>
          <w:color w:val="000000"/>
          <w:sz w:val="22"/>
          <w:szCs w:val="22"/>
        </w:rPr>
        <w:t xml:space="preserve">The COVID crash event is the only TSLA AT case where f6_rsi_14 (RSI-14) takes the top IG position, displacing the usual f7_macd_hist leader. This mirrors the NVDA COVID result where f8_bb_width took the top slot — both are volatility/momentum saturation indicators rather than directional momentum signals. When RSI leads, it signals the AT model is reading an oversold extreme (RSI crashing to ~20 range during the COVID rout) rather than a momentum reversal. The recency concentration of 48.5% further confirms the abruptness of the event — the model's attention is heavily rear-weighted.</w:t>
      </w:r>
    </w:p>
    <w:p>
      <w:pPr>
        <w:spacing w:after="0" w:before="4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4.1.2 Brand Crisis 2025: Temporal Depth as a Warning Signal</w:t>
      </w:r>
    </w:p>
    <w:p>
      <w:pPr>
        <w:spacing w:after="60" w:before="60"/>
      </w:pPr>
      <w:r>
        <w:rPr>
          <w:rFonts w:ascii="Arial" w:cs="Arial" w:eastAsia="Arial" w:hAnsi="Arial"/>
          <w:color w:val="000000"/>
          <w:sz w:val="22"/>
          <w:szCs w:val="22"/>
        </w:rPr>
        <w:t xml:space="preserve">The March 2025 TSLA brand crisis event (score 0.245) is particularly revealing in its TimeSHAP structure. Recency concentration is 25.4% — moderately low in the TSLA AT set — and the top Shapley timesteps (t=19, t=95, t=17, t=22) are concentrated in the early-to-middle window. This means AT was reading the erosion of Tesla's fundamental demand narrative from weeks before the March 10 capitulation date, not just the day itself.</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thick" w:color="0F6E56" w:sz="16"/>
              <w:bottom w:val="single" w:color="BFBFBF" w:sz="2"/>
              <w:right w:val="single" w:color="BFBFBF" w:sz="2"/>
            </w:tcBorders>
            <w:shd w:fill="D5F0EB" w:val="clear"/>
            <w:tcMar>
              <w:top w:type="dxa" w:w="100"/>
              <w:left w:type="dxa" w:w="160"/>
              <w:bottom w:type="dxa" w:w="100"/>
              <w:right w:type="dxa" w:w="120"/>
            </w:tcMar>
          </w:tcPr>
          <w:p>
            <w:pPr>
              <w:spacing w:after="40" w:before="0"/>
            </w:pPr>
            <w:r>
              <w:rPr>
                <w:rFonts w:ascii="Arial" w:cs="Arial" w:eastAsia="Arial" w:hAnsi="Arial"/>
                <w:b/>
                <w:bCs/>
                <w:color w:val="0F6E56"/>
                <w:sz w:val="20"/>
                <w:szCs w:val="20"/>
              </w:rPr>
              <w:t xml:space="preserve">Leading indicator signal</w:t>
            </w:r>
          </w:p>
          <w:p>
            <w:pPr>
              <w:spacing w:after="0" w:before="0"/>
            </w:pPr>
            <w:r>
              <w:rPr>
                <w:rFonts w:ascii="Arial" w:cs="Arial" w:eastAsia="Arial" w:hAnsi="Arial"/>
                <w:color w:val="000000"/>
                <w:sz w:val="20"/>
                <w:szCs w:val="20"/>
              </w:rPr>
              <w:t xml:space="preserve">Moderately low recency concentration on a fundamental-deterioration event (25.4% for TSLA brand crisis) means the AT model's anomaly detection "saw it coming" — the lookback window captured the accumulation of European sales decline reports, protest escalations, and Musk brand-risk headlines that preceded the March 10 plunge. This is distinct from shock events (COVID, DeepSeek) where recency spikes because the trigger was sudden.</w:t>
            </w:r>
          </w:p>
        </w:tc>
      </w:tr>
    </w:tbl>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4.2 TranAD — TSLA</w:t>
      </w:r>
    </w:p>
    <w:p>
      <w:pPr>
        <w:spacing w:after="60" w:before="60"/>
      </w:pPr>
      <w:r>
        <w:rPr>
          <w:rFonts w:ascii="Arial" w:cs="Arial" w:eastAsia="Arial" w:hAnsi="Arial"/>
          <w:color w:val="000000"/>
          <w:sz w:val="22"/>
          <w:szCs w:val="22"/>
        </w:rPr>
        <w:t xml:space="preserve">TranAD's most notable contribution to the TSLA analysis is the resolution of the October–November 2021 Hertz deal period into four distinct anomalous events across six days. The model treats each session's terminal state as independently anomalous, producing a temporal anatomy of the full gamma squeeze event.</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2021-11-02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2.4402</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(0.169)</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80.4%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+14.801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Hertz/Uber partnership confirmed; TSLA sustains $1T+ milestone; options squeeze continues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2021-11-01</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2.3104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(0.163)</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83.2%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+10.257</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$1T market cap consolidation; multiple analyst upgrades; momentum acceleration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2.0411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(0.140)</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69.1%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t=93</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+1.524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TSLA -15%; European sales -45%; Musk DOGE role deepens brand toxicity</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2021-10-25</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1.6937</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(0.078)</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73.6%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+7.999</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Hertz 100K order announcement; TSLA breaks $1T market cap for first time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1.5826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(0.105)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83.3%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+7.956</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Morgan Stanley PT $1,200; Hertz-Uber 50K fleet deal; gamma squeeze amplification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2025-03-03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1.1370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(0.093267)</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75.4%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-2.273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Morgan Stanley top pick (+50% target) vs Trump tariff shock + brand toxicity protests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2025-01-02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1.1258</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(0.120753)</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77.4%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+4.285</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First annual delivery decline since 2011 (first in over a decade); BYD +50% growth in Dec; Musk $108M share donation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1.0939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(0.096284)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77.9%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+4.145</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Hertz/Uber fleet deal confirmed; Goldman PT $1,125; 2,360% call option surge — gamma squeeze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2020-02-05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1.0523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(0.011411)</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79.4%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+1.588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$700 milestone + CATL battery partnership reversed by COVID Shanghai production delays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2025-03-11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0.9717</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(0.083013)</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37.6%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+0.932</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TSLA -15% five-year worst; Musk 'great difficulty' admission; Trump endorsement partial recovery</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4.2.1 The Hertz Cluster: TranAD Resolves Multi-Day Gamma Squeeze</w:t>
      </w:r>
    </w:p>
    <w:p>
      <w:pPr>
        <w:spacing w:after="60" w:before="60"/>
      </w:pPr>
      <w:r>
        <w:rPr>
          <w:rFonts w:ascii="Arial" w:cs="Arial" w:eastAsia="Arial" w:hAnsi="Arial"/>
          <w:color w:val="000000"/>
          <w:sz w:val="22"/>
          <w:szCs w:val="22"/>
        </w:rPr>
        <w:t xml:space="preserve">The four October–November 2021 TranAD events form a coherent sequence that AT's point-level detection collapsed into a single event. Examining the Shapley values chronologically:</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2E75B6"/>
          <w:sz w:val="22"/>
          <w:szCs w:val="22"/>
        </w:rPr>
        <w:t xml:space="preserve">Oct 25 (φ t=95 = +8.00): </w:t>
      </w:r>
      <w:r>
        <w:rPr>
          <w:rFonts w:ascii="Arial" w:cs="Arial" w:eastAsia="Arial" w:hAnsi="Arial"/>
          <w:color w:val="000000"/>
          <w:sz w:val="22"/>
          <w:szCs w:val="22"/>
        </w:rPr>
        <w:t xml:space="preserve">Initial announcement day — score 1.69, t=95 dominant but at moderate magnitude. Model flags the terminal state of the announcement session.</w:t>
      </w:r>
    </w:p>
    <w:p>
      <w:pPr>
        <w:pStyle w:val="ListParagraph"/>
        <w:numPr>
          <w:ilvl w:val="0"/>
          <w:numId w:val="2"/>
        </w:numPr>
        <w:spacing w:after="40" w:before="40"/>
      </w:pPr>
      <w:r>
        <w:rPr>
          <w:rFonts w:ascii="Arial" w:cs="Arial" w:eastAsia="Arial" w:hAnsi="Arial"/>
          <w:b/>
          <w:bCs/>
          <w:color w:val="2E75B6"/>
          <w:sz w:val="22"/>
          <w:szCs w:val="22"/>
        </w:rPr>
        <w:t xml:space="preserve">Oct 28 (φ t=95 = +7.96): </w:t>
      </w:r>
      <w:r>
        <w:rPr>
          <w:rFonts w:ascii="Arial" w:cs="Arial" w:eastAsia="Arial" w:hAnsi="Arial"/>
          <w:color w:val="000000"/>
          <w:sz w:val="22"/>
          <w:szCs w:val="22"/>
        </w:rPr>
        <w:t xml:space="preserve">Hertz-Uber partnership day — nearly identical t=95 value, confirming the anomaly score is sustained rather than decaying. Recency concentration increases to 83.3%.</w:t>
      </w:r>
    </w:p>
    <w:p>
      <w:pPr>
        <w:pStyle w:val="ListParagraph"/>
        <w:numPr>
          <w:ilvl w:val="0"/>
          <w:numId w:val="2"/>
        </w:numPr>
        <w:spacing w:after="40" w:before="40"/>
      </w:pPr>
      <w:r>
        <w:rPr>
          <w:rFonts w:ascii="Arial" w:cs="Arial" w:eastAsia="Arial" w:hAnsi="Arial"/>
          <w:b/>
          <w:bCs/>
          <w:color w:val="2E75B6"/>
          <w:sz w:val="22"/>
          <w:szCs w:val="22"/>
        </w:rPr>
        <w:t xml:space="preserve">Nov 1  (φ t=95 = +10.26): </w:t>
      </w:r>
      <w:r>
        <w:rPr>
          <w:rFonts w:ascii="Arial" w:cs="Arial" w:eastAsia="Arial" w:hAnsi="Arial"/>
          <w:color w:val="000000"/>
          <w:sz w:val="22"/>
          <w:szCs w:val="22"/>
        </w:rPr>
        <w:t xml:space="preserve">Highest t=95 Shapley in the Hertz cluster. MACD attribution also peaks. The model detects maximum momentum accumulation — this is the peak of the gamma squeeze.</w:t>
      </w:r>
    </w:p>
    <w:p>
      <w:pPr>
        <w:pStyle w:val="ListParagraph"/>
        <w:numPr>
          <w:ilvl w:val="0"/>
          <w:numId w:val="2"/>
        </w:numPr>
        <w:spacing w:after="40" w:before="40"/>
      </w:pPr>
      <w:r>
        <w:rPr>
          <w:rFonts w:ascii="Arial" w:cs="Arial" w:eastAsia="Arial" w:hAnsi="Arial"/>
          <w:b/>
          <w:bCs/>
          <w:color w:val="2E75B6"/>
          <w:sz w:val="22"/>
          <w:szCs w:val="22"/>
        </w:rPr>
        <w:t xml:space="preserve">Nov 2  (φ t=95 = +14.80): </w:t>
      </w:r>
      <w:r>
        <w:rPr>
          <w:rFonts w:ascii="Arial" w:cs="Arial" w:eastAsia="Arial" w:hAnsi="Arial"/>
          <w:color w:val="000000"/>
          <w:sz w:val="22"/>
          <w:szCs w:val="22"/>
        </w:rPr>
        <w:t xml:space="preserve">Score remains elevated (2.44) but t=95 Shapley slightly lower than Nov 1. The momentum has plateaued. Recency concentration (80.4%) remains elevated.</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This sequential pattern of t=95 Shapley magnitude across the four events (8.00 → 7.96 → 10.26 → 14.80) provides a quantitative narrative of the gamma squeeze lifecycle that news attribution alone cannot deliver — the XAI layer adds temporal granularity to what news analysis identifies as a single "Hertz deal event."</w:t>
      </w:r>
    </w:p>
    <w:p>
      <w:r>
        <w:br w:type="page"/>
      </w:r>
    </w:p>
    <w:p>
      <w:pPr>
        <w:pStyle w:val="Heading1"/>
        <w:spacing w:after="120" w:before="360"/>
      </w:pPr>
      <w:r>
        <w:rPr>
          <w:rFonts w:ascii="Arial" w:cs="Arial" w:eastAsia="Arial" w:hAnsi="Arial"/>
          <w:b/>
          <w:bCs/>
          <w:color w:val="1A3A5C"/>
          <w:sz w:val="36"/>
          <w:szCs w:val="36"/>
        </w:rPr>
        <w:t xml:space="preserve">5. Intel Corporation (INTC)</w:t>
      </w:r>
    </w:p>
    <w:p>
      <w:pPr>
        <w:spacing w:after="60" w:before="60"/>
      </w:pPr>
      <w:r>
        <w:rPr>
          <w:rFonts w:ascii="Arial" w:cs="Arial" w:eastAsia="Arial" w:hAnsi="Arial"/>
          <w:color w:val="000000"/>
          <w:sz w:val="22"/>
          <w:szCs w:val="22"/>
        </w:rPr>
        <w:t xml:space="preserve">INTC's XAI profile is the most analytically distinct of the three tickers. Feature leadership shifts away from the MACD-histogram-dominant pattern seen in NVDA and TSLA toward raw return and gap metrics. This feature profile difference, combined with a gradient saturation anomaly in the AT model, provides important diagnostic information about how both models handle structurally different types of equity anomalies.</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5.1 Anomaly Transformer — INTC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2024-08-02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1.0028</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(0.000001)</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48.5%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-0.000668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2024 catastrophic earnings: 60% dividend cut, 15K layoffs, -26% worst day since 1974</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2020-03-16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0.5064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(0.000012)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57.5%</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t=89</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+0.000239</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COVID-19 crash — sector-wide rout amplified by Intel's pre-existing weakness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2020-07-24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0.2828</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(0.000082)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16.2%</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t=4</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+0.000877</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2020 earnings miss; 7nm production delay revealed; worst Intel day in years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2024-04-26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0.2133</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f3_parkinson (0.000022)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19.6%</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t=58</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-0.000295</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Q1 2024 revenue miss; data centre weakness; AI gap vs NVDA widens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2025-04-09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0.1433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f3_parkinson (0.000004)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25.3%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t=59</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-0.000181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Tariff relief rally — tech sector rebound offsets fundamental INTC headwinds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2023-01-27</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0.1320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f1_log_ret (0.000018)</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17.4%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t=34</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+0.000483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Q4 2022 'crime scene' — catastrophic guidance, largest loss in years; PC/server nosedive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2020-10-23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0.1229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f1_log_ret (0.000059)</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12.8%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t=30</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-0.001029</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Q3 margins collapse; server segment unexpectedly shrinks; -10-12%; NAND sale to SK Hynix</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2022-10-28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0.1214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(0.000001)</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28.5%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t=31</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-0.000091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Q3 earnings beat + $10B cost cuts + Mobileye IPO +30% — 'shock and awe' best day since 2020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2016-01-15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0.1099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(0.000001)</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37.3%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t=89</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+0.000103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headlines in window — pre-AI era macro event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2018-07-27</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0.0956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(0.000002)</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13.9%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t=13</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+0.000098</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10nm delay + data center losses to AMD + BoA/Citi downgrades — 'beat but data center misses'</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5.1.1 Critical Finding: Gradient Saturation in INTC 2024-08-02</w:t>
      </w:r>
    </w:p>
    <w:p>
      <w:pPr>
        <w:spacing w:after="60" w:before="60"/>
      </w:pPr>
      <w:r>
        <w:rPr>
          <w:rFonts w:ascii="Arial" w:cs="Arial" w:eastAsia="Arial" w:hAnsi="Arial"/>
          <w:b/>
          <w:bCs/>
          <w:color w:val="C00000"/>
          <w:sz w:val="22"/>
          <w:szCs w:val="22"/>
        </w:rPr>
        <w:t xml:space="preserve">The August 2, 2024 INTC event presents a diagnostic failure case for AT's IG attribution.</w:t>
      </w:r>
      <w:r>
        <w:rPr>
          <w:rFonts w:ascii="Arial" w:cs="Arial" w:eastAsia="Arial" w:hAnsi="Arial"/>
          <w:color w:val="000000"/>
          <w:sz w:val="22"/>
          <w:szCs w:val="22"/>
        </w:rPr>
        <w:t xml:space="preserve"> Despite receiving the highest AT score in the INTC dataset (1.003), all IG values are effectively zero — the maximum attribution across all eight features is 1e-6 (f6_rsi_14). This is not a low-importance event but a gradient saturation condition: the model's detection mechanism for this specific sequence does not produce a gradient path that IG can traverse.</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Two factors likely contribute to this. First, the AT association discrepancy mechanism uses a partially detached prior (the prior normalisation uses .detach() in the KL computation), which can block gradient flow for certain sequence configurations. Second, a 26% single-day price drop creates an extreme feature state that may push the model into a saturated activation regime. The news attribution correctly identifies this as the most severe INTC event in the dataset (dividend suspension, 15,000 layoffs) — but the IG layer cannot confirm which features drove the detection.</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6"/>
              <w:bottom w:val="single" w:color="BFBFBF" w:sz="2"/>
              <w:right w:val="single" w:color="BFBFBF" w:sz="2"/>
            </w:tcBorders>
            <w:shd w:fill="FCE4E4" w:val="clear"/>
            <w:tcMar>
              <w:top w:type="dxa" w:w="100"/>
              <w:left w:type="dxa" w:w="160"/>
              <w:bottom w:type="dxa" w:w="100"/>
              <w:right w:type="dxa" w:w="120"/>
            </w:tcMar>
          </w:tcPr>
          <w:p>
            <w:pPr>
              <w:spacing w:after="40" w:before="0"/>
            </w:pPr>
            <w:r>
              <w:rPr>
                <w:rFonts w:ascii="Arial" w:cs="Arial" w:eastAsia="Arial" w:hAnsi="Arial"/>
                <w:b/>
                <w:bCs/>
                <w:color w:val="C00000"/>
                <w:sz w:val="20"/>
                <w:szCs w:val="20"/>
              </w:rPr>
              <w:t xml:space="preserve">Diagnostic implication</w:t>
            </w:r>
          </w:p>
          <w:p>
            <w:pPr>
              <w:spacing w:after="0" w:before="0"/>
            </w:pPr>
            <w:r>
              <w:rPr>
                <w:rFonts w:ascii="Arial" w:cs="Arial" w:eastAsia="Arial" w:hAnsi="Arial"/>
                <w:color w:val="000000"/>
                <w:sz w:val="20"/>
                <w:szCs w:val="20"/>
              </w:rPr>
              <w:t xml:space="preserve">When AT IG values all collapse to near-zero on a high-score event, the event should be flagged for manual review of the association discrepancy computation path. The TranAD model does not exhibit this failure on the same event (f5_rel_ret = 0.041, clear attribution), confirming the issue is AT-specific rather than data-driven. A second gradient saturation case was identified in TSLA AT 2024-07-02, where all IG values collapse to 0.000000 despite a non-trivial detection score (0.107). Both saturation cases involve gap-shock events where the terminal price move is large relative to prior momentum.</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5.1.2 Parkinson Volatility Leads Later INTC Events</w:t>
      </w:r>
    </w:p>
    <w:p>
      <w:pPr>
        <w:spacing w:after="60" w:before="60"/>
      </w:pPr>
      <w:r>
        <w:rPr>
          <w:rFonts w:ascii="Arial" w:cs="Arial" w:eastAsia="Arial" w:hAnsi="Arial"/>
          <w:color w:val="000000"/>
          <w:sz w:val="22"/>
          <w:szCs w:val="22"/>
        </w:rPr>
        <w:t xml:space="preserve">For INTC's later AT events (2024-04-26 and 2025-04-09), the Parkinson volatility estimator (f3_parkinson) takes the top IG position — a feature that never leads in NVDA or TSLA events. Parkinson volatility uses the daily high-low range to estimate realised intraday variance and is particularly sensitive to "quiet outside, explosive inside" trading days where the intraday range expands dramatically within a narrow close-to-close return. This is characteristic of Intel's late-period trading: a stock under fundamental pressure that experiences large intraday swings even when daily close-to-close returns are modest.</w:t>
      </w:r>
    </w:p>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5.2 TranAD — INTC</w:t>
      </w:r>
    </w:p>
    <w:p>
      <w:pPr>
        <w:spacing w:after="60" w:before="60"/>
      </w:pPr>
      <w:r>
        <w:rPr>
          <w:rFonts w:ascii="Arial" w:cs="Arial" w:eastAsia="Arial" w:hAnsi="Arial"/>
          <w:b/>
          <w:bCs/>
          <w:color w:val="1A3A5C"/>
          <w:sz w:val="22"/>
          <w:szCs w:val="22"/>
        </w:rPr>
        <w:t xml:space="preserve">INTC is the only ticker where TranAD's top IG feature is not f7_macd_hist.</w:t>
      </w:r>
      <w:r>
        <w:rPr>
          <w:rFonts w:ascii="Arial" w:cs="Arial" w:eastAsia="Arial" w:hAnsi="Arial"/>
          <w:color w:val="000000"/>
          <w:sz w:val="22"/>
          <w:szCs w:val="22"/>
        </w:rPr>
        <w:t xml:space="preserve"> Instead, f5_rel_ret (relative return vs market), f2_gap_ret (overnight gap), and f4_vol_z (volume z-score) dominate across all ten events. This feature leadership shift is one of the most significant findings in the XAI analysis.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700"/>
        <w:gridCol w:w="900"/>
        <w:gridCol w:w="1000"/>
        <w:gridCol w:w="900"/>
        <w:gridCol w:w="26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Date</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Score</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IG Feature</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Recency %</w:t>
            </w:r>
          </w:p>
        </w:tc>
        <w:tc>
          <w:tcPr>
            <w:tcW w:type="dxa" w:w="1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Top Shapley t</w:t>
            </w:r>
          </w:p>
        </w:tc>
        <w:tc>
          <w:tcPr>
            <w:tcW w:type="dxa" w:w="9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φ(t)</w:t>
            </w:r>
          </w:p>
        </w:tc>
        <w:tc>
          <w:tcPr>
            <w:tcW w:type="dxa" w:w="26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News Catalyst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2025-09-18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2.0550</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f2_gap_ret (0.046)</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63.6%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+5.006</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Post-CEO-transition Intel restructuring event; continued fabrication strategy uncertainty</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2024-08-02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1.6275</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(0.041)</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69.2%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+5.396</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Catastrophic Q2 2024: dividend cut, 15K layoffs, -26% — worst single day since 1974</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2020-07-24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1.2374</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(0.019)</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70.4%</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+2.271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2020 7nm delay bombshell — Intel cedes manufacturing lead; stock -16%</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2021-10-22</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0.6492</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(0.112)</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47.3%</w:t>
            </w:r>
          </w:p>
        </w:tc>
        <w:tc>
          <w:tcPr>
            <w:tcW w:type="dxa" w:w="1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+1.542</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Q3 2021 earnings miss; market pricing permanent competitive gap vs AMD/NVDA</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2022-07-29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0.6031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f2_gap_ret (0.013)</w:t>
            </w:r>
          </w:p>
        </w:tc>
        <w:tc>
          <w:tcPr>
            <w:tcW w:type="dxa" w:w="900"/>
            <w:tcBorders>
              <w:top w:val="single" w:color="BFBFBF" w:sz="1"/>
              <w:left w:val="single" w:color="BFBFBF" w:sz="1"/>
              <w:bottom w:val="single" w:color="BFBFBF" w:sz="1"/>
              <w:right w:val="single" w:color="BFBFBF" w:sz="1"/>
            </w:tcBorders>
            <w:shd w:fill="FCE4E4"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57.0%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+1.424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Q2 2022 earnings collapse — massive miss, guidance cut; worst Intel quarter in years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2020-10-23</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0.4992</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f4_vol_z (0.007534)</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62.8%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+1.604</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Q3 earnings: margins tumble, server segment shrinks; -10-12%; NAND business sold to SK Hynix</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2025-02-19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0.4659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f8_bb_width (0.006633)</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68.5%</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+0.841</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Broadcom/TSMC breakup speculation day 2; Altera unit deal; 25% chip tariff offset by M&amp;A optimism</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2019-04-26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0.4385</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(0.006805)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66.9%</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+0.883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Q1 2019: cautious CEO guidance; China data center sales weak; worst INTC day in over a decade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2024-01-26</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0.3432</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f2_gap_ret (0.008065)</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64.0%</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+1.023</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Q4 beat but Q1 guidance miss; AI gap vs NVDA/AMD widens; worst single-day drop since 2020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2025-02-18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0.3236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f1_log_ret (0.012990)</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61.8%</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+1.382</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Broadcom/TSMC Intel breakup rumors — biggest INTC rally since 2020; Silver Lake Altera stake</w:t>
            </w:r>
          </w:p>
        </w:tc>
      </w:tr>
    </w:tbl>
    <w:p>
      <w:pPr>
        <w:spacing w:after="0" w:before="8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5.2.1 The Return-Gap Feature Profile: INTC vs NVDA/TSLA</w:t>
      </w:r>
    </w:p>
    <w:p>
      <w:pPr>
        <w:spacing w:after="60" w:before="60"/>
      </w:pPr>
      <w:r>
        <w:rPr>
          <w:rFonts w:ascii="Arial" w:cs="Arial" w:eastAsia="Arial" w:hAnsi="Arial"/>
          <w:color w:val="000000"/>
          <w:sz w:val="22"/>
          <w:szCs w:val="22"/>
        </w:rPr>
        <w:t xml:space="preserve">The shift from f7_macd_hist to f5_rel_ret + f2_gap_ret as TranAD's top INTC features maps directly onto structural differences in how each ticker's anomalies manifest:</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2E75B6"/>
          <w:sz w:val="22"/>
          <w:szCs w:val="22"/>
        </w:rPr>
        <w:t xml:space="preserve">NVDA and TSLA anomalies are momentum breakouts: </w:t>
      </w:r>
      <w:r>
        <w:rPr>
          <w:rFonts w:ascii="Arial" w:cs="Arial" w:eastAsia="Arial" w:hAnsi="Arial"/>
          <w:color w:val="000000"/>
          <w:sz w:val="22"/>
          <w:szCs w:val="22"/>
        </w:rPr>
        <w:t xml:space="preserve">prices trend for days or weeks before the flagged event, generating strong MACD divergence. The MACD histogram accumulates a large, sustained signal that TranAD's reconstruction model finds difficult to predict.</w:t>
      </w:r>
    </w:p>
    <w:p>
      <w:pPr>
        <w:pStyle w:val="ListParagraph"/>
        <w:numPr>
          <w:ilvl w:val="0"/>
          <w:numId w:val="2"/>
        </w:numPr>
        <w:spacing w:after="40" w:before="40"/>
      </w:pPr>
      <w:r>
        <w:rPr>
          <w:rFonts w:ascii="Arial" w:cs="Arial" w:eastAsia="Arial" w:hAnsi="Arial"/>
          <w:b/>
          <w:bCs/>
          <w:color w:val="2E75B6"/>
          <w:sz w:val="22"/>
          <w:szCs w:val="22"/>
        </w:rPr>
        <w:t xml:space="preserve">INTC anomalies are gap-shock events: </w:t>
      </w:r>
      <w:r>
        <w:rPr>
          <w:rFonts w:ascii="Arial" w:cs="Arial" w:eastAsia="Arial" w:hAnsi="Arial"/>
          <w:color w:val="000000"/>
          <w:sz w:val="22"/>
          <w:szCs w:val="22"/>
        </w:rPr>
        <w:t xml:space="preserve">earnings are released after market close, generating a large overnight gap (f2_gap_ret) and a large relative underperformance versus the broader semiconductor sector (f5_rel_ret). The intraday trend after the gap is often modest — so MACD does not build a strong signal — but the gap itself is extreme.</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thick" w:color="0F6E56" w:sz="16"/>
              <w:bottom w:val="single" w:color="BFBFBF" w:sz="2"/>
              <w:right w:val="single" w:color="BFBFBF" w:sz="2"/>
            </w:tcBorders>
            <w:shd w:fill="D5F0EB" w:val="clear"/>
            <w:tcMar>
              <w:top w:type="dxa" w:w="100"/>
              <w:left w:type="dxa" w:w="160"/>
              <w:bottom w:type="dxa" w:w="100"/>
              <w:right w:type="dxa" w:w="120"/>
            </w:tcMar>
          </w:tcPr>
          <w:p>
            <w:pPr>
              <w:spacing w:after="40" w:before="0"/>
            </w:pPr>
            <w:r>
              <w:rPr>
                <w:rFonts w:ascii="Arial" w:cs="Arial" w:eastAsia="Arial" w:hAnsi="Arial"/>
                <w:b/>
                <w:bCs/>
                <w:color w:val="0F6E56"/>
                <w:sz w:val="20"/>
                <w:szCs w:val="20"/>
              </w:rPr>
              <w:t xml:space="preserve">Ticker-type classification finding</w:t>
            </w:r>
          </w:p>
          <w:p>
            <w:pPr>
              <w:spacing w:after="0" w:before="0"/>
            </w:pPr>
            <w:r>
              <w:rPr>
                <w:rFonts w:ascii="Arial" w:cs="Arial" w:eastAsia="Arial" w:hAnsi="Arial"/>
                <w:color w:val="000000"/>
                <w:sz w:val="20"/>
                <w:szCs w:val="20"/>
              </w:rPr>
              <w:t xml:space="preserve">TranAD's IG feature leadership acts as an implicit classifier of anomaly type. MACD-led events (NVDA, TSLA) are momentum-sustained regime changes. Return/gap-led events (INTC) are overnight shock events. This distinction has practical implications for alert routing: a TranAD anomaly with f5_rel_ret or f2_gap_ret at the top warrants immediate post-earnings review, while an f7_macd_hist-led alert warrants trend-continuation assessment.</w:t>
            </w:r>
          </w:p>
        </w:tc>
      </w:tr>
    </w:tbl>
    <w:p>
      <w:pPr>
        <w:spacing w:after="0" w:before="60"/>
      </w:pPr>
      <w:r>
        <w:rPr>
          <w:rFonts w:ascii="Arial" w:cs="Arial" w:eastAsia="Arial" w:hAnsi="Arial"/>
          <w:color w:val="000000"/>
          <w:sz w:val="22"/>
          <w:szCs w:val="22"/>
        </w:rPr>
        <w:t xml:space="preserve"/>
      </w:r>
    </w:p>
    <w:p>
      <w:pPr>
        <w:pStyle w:val="Heading3"/>
        <w:spacing w:after="60" w:before="200"/>
      </w:pPr>
      <w:r>
        <w:rPr>
          <w:rFonts w:ascii="Arial" w:cs="Arial" w:eastAsia="Arial" w:hAnsi="Arial"/>
          <w:b/>
          <w:bCs/>
          <w:color w:val="1A3A5C"/>
          <w:sz w:val="24"/>
          <w:szCs w:val="24"/>
        </w:rPr>
        <w:t xml:space="preserve">5.2.2 Recency Structure Across INTC TranAD Events</w:t>
      </w:r>
    </w:p>
    <w:p>
      <w:pPr>
        <w:spacing w:after="60" w:before="60"/>
      </w:pPr>
      <w:r>
        <w:rPr>
          <w:rFonts w:ascii="Arial" w:cs="Arial" w:eastAsia="Arial" w:hAnsi="Arial"/>
          <w:color w:val="000000"/>
          <w:sz w:val="22"/>
          <w:szCs w:val="22"/>
        </w:rPr>
        <w:t xml:space="preserve">Recency concentration across the five INTC TranAD events ranges from 47.3% to 70.4% — lower than TranAD's NVDA events (68.8%–77.4%) and TSLA events (71.0%–83.4%). The exception is the 2021-10-22 event (47.3%), where f8_bb_width leads and the Shapley distribution is more diffuse. This lower recency on an earnings event suggests the model was reading a longer buildup of volatility compression before the Q3 2021 miss — Bollinger Band width had been narrowing for several weeks, creating a coiled-spring setup that the earnings miss released.</w:t>
      </w:r>
    </w:p>
    <w:p>
      <w:r>
        <w:br w:type="page"/>
      </w:r>
    </w:p>
    <w:p>
      <w:pPr>
        <w:pStyle w:val="Heading1"/>
        <w:spacing w:after="120" w:before="360"/>
      </w:pPr>
      <w:r>
        <w:rPr>
          <w:rFonts w:ascii="Arial" w:cs="Arial" w:eastAsia="Arial" w:hAnsi="Arial"/>
          <w:b/>
          <w:bCs/>
          <w:color w:val="1A3A5C"/>
          <w:sz w:val="36"/>
          <w:szCs w:val="36"/>
        </w:rPr>
        <w:t xml:space="preserve">6. Cross-Ticker XAI Synthesis</w:t>
      </w:r>
    </w:p>
    <w:p>
      <w:pPr>
        <w:pStyle w:val="Heading2"/>
        <w:pBdr>
          <w:bottom w:val="single" w:color="2E75B6" w:sz="4" w:space="1"/>
        </w:pBdr>
        <w:spacing w:after="80" w:before="280"/>
      </w:pPr>
      <w:r>
        <w:rPr>
          <w:rFonts w:ascii="Arial" w:cs="Arial" w:eastAsia="Arial" w:hAnsi="Arial"/>
          <w:b/>
          <w:bCs/>
          <w:color w:val="2E75B6"/>
          <w:sz w:val="28"/>
          <w:szCs w:val="28"/>
        </w:rPr>
        <w:t xml:space="preserve">6.1 Feature Importance Across Models and Tickers</w:t>
      </w:r>
    </w:p>
    <w:p>
      <w:pPr>
        <w:spacing w:after="60" w:before="60"/>
      </w:pPr>
      <w:r>
        <w:rPr>
          <w:rFonts w:ascii="Arial" w:cs="Arial" w:eastAsia="Arial" w:hAnsi="Arial"/>
          <w:color w:val="000000"/>
          <w:sz w:val="22"/>
          <w:szCs w:val="22"/>
        </w:rPr>
        <w:t xml:space="preserve">The table below compares how each feature ranks across AT and TranAD detections, averaged across all events and tickers, and interprets the structural meaning of each feature's relative position.</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4760"/>
      </w:tblGrid>
      <w:tr>
        <w:trPr>
          <w:tblHeader/>
        </w:trP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Feature</w:t>
            </w:r>
          </w:p>
        </w:tc>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AT Rank / |IG|</w:t>
            </w:r>
          </w:p>
        </w:tc>
        <w:tc>
          <w:tcPr>
            <w:tcW w:type="dxa" w:w="17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TranAD Rank / |IG|</w:t>
            </w:r>
          </w:p>
        </w:tc>
        <w:tc>
          <w:tcPr>
            <w:tcW w:type="dxa" w:w="476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Interpretation</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f7_macd_hist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14/30 events</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19/30 events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Momentum divergence is the universal primary signal for both models. Both architectures are most sensitive to the accumulated divergence between fast and slow EMAs — a measure of whether the current price regime has broken from its recent trend.</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f1_log_ret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 (last) in most AT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in TranAD NVDA events</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Raw log return is a lagging input for AT but a co-leader in TranAD's NVDA detections. TranAD's adversarial second stage appears to combine momentum (f7) and magnitude (f1) — AT relies on momentum divergence alone.</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f8_bb_width</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macro panic events (COVID)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INTC 2021-10-22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Bollinger Band width signals volatility regime shifts. Takes the top slot when the anomaly is driven by volatility expansion rather than directional momentum — a structural regime marker used differently by both models.</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f6_rsi_14</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for TSLA/INTC COVID events</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in some TSLA events</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RSI-14 leads during extreme oversold/overbought events where momentum has reached saturation. Acts as an oscillator saturation signal rather than a momentum direction signal.</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f5_rel_ret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Rarely top 3 for AT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all TranAD INTC events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Relative return vs market distinguishes idiosyncratic events from macro moves. TranAD uses this to identify INTC-specific deterioration that is not explained by sector-wide movements — a precision signal AT doesn't leverage as strongly.</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f2_gap_ret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Mid-ranking (#4–5)</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in INTC gap events; #2 in NVDA 2023</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Overnight gap return flags post-close information releases (earnings, guidance). TranAD is more sensitive to gaps than AT because its window reconstruction more explicitly models the temporal gap structure.</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f3_parkinson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for INTC 2024-04-26 and 2025-04-09</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Rarely top 3</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Parkinson volatility (high-low estimator) is uniquely elevated in AT's INTC late-period events — capturing intraday range expansion in a stock under sustained fundamental pressure. Not a feature TranAD prioritises.</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f4_vol_z</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Consistently mid-rank (#4–6)</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Consistently mid-rank</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Volume z-score provides context but is rarely the primary driver for either model. Acts as an amplifier: high volume raises confidence in the directional signal but does not independently generate anomaly flags.</w:t>
            </w:r>
          </w:p>
        </w:tc>
      </w:tr>
    </w:tbl>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6.2 Recency Concentration: Model Temporal Receptive Field</w:t>
      </w:r>
    </w:p>
    <w:p>
      <w:pPr>
        <w:spacing w:after="60" w:before="60"/>
      </w:pPr>
      <w:r>
        <w:rPr>
          <w:rFonts w:ascii="Arial" w:cs="Arial" w:eastAsia="Arial" w:hAnsi="Arial"/>
          <w:color w:val="000000"/>
          <w:sz w:val="22"/>
          <w:szCs w:val="22"/>
        </w:rPr>
        <w:t xml:space="preserve">The recency concentration metric — the fraction of total |φ(t)| in the last 20% of the window — provides a model-level summary of temporal attention. The pattern across all 60 events is one of the clearest structural differences between the two architectures:</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B2C6F" w:sz="4"/>
              <w:left w:val="single" w:color="BFBFBF" w:sz="1"/>
              <w:bottom w:val="single" w:color="BFBFBF" w:sz="1"/>
              <w:right w:val="single" w:color="BFBFBF" w:sz="1"/>
            </w:tcBorders>
            <w:shd w:fill="EAE4F7" w:val="clear"/>
            <w:tcMar>
              <w:top w:type="dxa" w:w="80"/>
              <w:left w:type="dxa" w:w="120"/>
              <w:bottom w:type="dxa" w:w="80"/>
              <w:right w:type="dxa" w:w="120"/>
            </w:tcMar>
          </w:tcPr>
          <w:p>
            <w:pPr>
              <w:spacing w:after="40" w:before="0"/>
            </w:pPr>
            <w:r>
              <w:rPr>
                <w:rFonts w:ascii="Arial" w:cs="Arial" w:eastAsia="Arial" w:hAnsi="Arial"/>
                <w:color w:val="5B2C6F"/>
                <w:sz w:val="18"/>
                <w:szCs w:val="18"/>
              </w:rPr>
              <w:t xml:space="preserve">AT average recency</w:t>
            </w:r>
          </w:p>
          <w:p>
            <w:pPr>
              <w:spacing w:after="0" w:before="0"/>
            </w:pPr>
            <w:r>
              <w:rPr>
                <w:rFonts w:ascii="Arial" w:cs="Arial" w:eastAsia="Arial" w:hAnsi="Arial"/>
                <w:b/>
                <w:bCs/>
                <w:color w:val="5B2C6F"/>
                <w:sz w:val="26"/>
                <w:szCs w:val="26"/>
              </w:rPr>
              <w:t xml:space="preserve">28%</w:t>
            </w:r>
          </w:p>
        </w:tc>
        <w:tc>
          <w:tcPr>
            <w:tcW w:type="dxa" w:w="2340"/>
            <w:tcBorders>
              <w:top w:val="single" w:color="5B2C6F" w:sz="4"/>
              <w:left w:val="single" w:color="BFBFBF" w:sz="1"/>
              <w:bottom w:val="single" w:color="BFBFBF" w:sz="1"/>
              <w:right w:val="single" w:color="BFBFBF" w:sz="1"/>
            </w:tcBorders>
            <w:shd w:fill="EAE4F7" w:val="clear"/>
            <w:tcMar>
              <w:top w:type="dxa" w:w="80"/>
              <w:left w:type="dxa" w:w="120"/>
              <w:bottom w:type="dxa" w:w="80"/>
              <w:right w:type="dxa" w:w="120"/>
            </w:tcMar>
          </w:tcPr>
          <w:p>
            <w:pPr>
              <w:spacing w:after="40" w:before="0"/>
            </w:pPr>
            <w:r>
              <w:rPr>
                <w:rFonts w:ascii="Arial" w:cs="Arial" w:eastAsia="Arial" w:hAnsi="Arial"/>
                <w:color w:val="5B2C6F"/>
                <w:sz w:val="18"/>
                <w:szCs w:val="18"/>
              </w:rPr>
              <w:t xml:space="preserve">AT range</w:t>
            </w:r>
          </w:p>
          <w:p>
            <w:pPr>
              <w:spacing w:after="0" w:before="0"/>
            </w:pPr>
            <w:r>
              <w:rPr>
                <w:rFonts w:ascii="Arial" w:cs="Arial" w:eastAsia="Arial" w:hAnsi="Arial"/>
                <w:b/>
                <w:bCs/>
                <w:color w:val="5B2C6F"/>
                <w:sz w:val="26"/>
                <w:szCs w:val="26"/>
              </w:rPr>
              <w:t xml:space="preserve">5.6%–72.3%</w:t>
            </w:r>
          </w:p>
        </w:tc>
        <w:tc>
          <w:tcPr>
            <w:tcW w:type="dxa" w:w="2340"/>
            <w:tcBorders>
              <w:top w:val="single" w:color="C55A11" w:sz="4"/>
              <w:left w:val="single" w:color="BFBFBF" w:sz="1"/>
              <w:bottom w:val="single" w:color="BFBFBF" w:sz="1"/>
              <w:right w:val="single" w:color="BFBFBF" w:sz="1"/>
            </w:tcBorders>
            <w:shd w:fill="FFF2CC" w:val="clear"/>
            <w:tcMar>
              <w:top w:type="dxa" w:w="80"/>
              <w:left w:type="dxa" w:w="120"/>
              <w:bottom w:type="dxa" w:w="80"/>
              <w:right w:type="dxa" w:w="120"/>
            </w:tcMar>
          </w:tcPr>
          <w:p>
            <w:pPr>
              <w:spacing w:after="40" w:before="0"/>
            </w:pPr>
            <w:r>
              <w:rPr>
                <w:rFonts w:ascii="Arial" w:cs="Arial" w:eastAsia="Arial" w:hAnsi="Arial"/>
                <w:color w:val="C55A11"/>
                <w:sz w:val="18"/>
                <w:szCs w:val="18"/>
              </w:rPr>
              <w:t xml:space="preserve">TranAD average recency</w:t>
            </w:r>
          </w:p>
          <w:p>
            <w:pPr>
              <w:spacing w:after="0" w:before="0"/>
            </w:pPr>
            <w:r>
              <w:rPr>
                <w:rFonts w:ascii="Arial" w:cs="Arial" w:eastAsia="Arial" w:hAnsi="Arial"/>
                <w:b/>
                <w:bCs/>
                <w:color w:val="C55A11"/>
                <w:sz w:val="26"/>
                <w:szCs w:val="26"/>
              </w:rPr>
              <w:t xml:space="preserve">70%</w:t>
            </w:r>
          </w:p>
        </w:tc>
        <w:tc>
          <w:tcPr>
            <w:tcW w:type="dxa" w:w="2340"/>
            <w:tcBorders>
              <w:top w:val="single" w:color="C55A11" w:sz="4"/>
              <w:left w:val="single" w:color="BFBFBF" w:sz="1"/>
              <w:bottom w:val="single" w:color="BFBFBF" w:sz="1"/>
              <w:right w:val="single" w:color="BFBFBF" w:sz="1"/>
            </w:tcBorders>
            <w:shd w:fill="FFF2CC" w:val="clear"/>
            <w:tcMar>
              <w:top w:type="dxa" w:w="80"/>
              <w:left w:type="dxa" w:w="120"/>
              <w:bottom w:type="dxa" w:w="80"/>
              <w:right w:type="dxa" w:w="120"/>
            </w:tcMar>
          </w:tcPr>
          <w:p>
            <w:pPr>
              <w:spacing w:after="40" w:before="0"/>
            </w:pPr>
            <w:r>
              <w:rPr>
                <w:rFonts w:ascii="Arial" w:cs="Arial" w:eastAsia="Arial" w:hAnsi="Arial"/>
                <w:color w:val="C55A11"/>
                <w:sz w:val="18"/>
                <w:szCs w:val="18"/>
              </w:rPr>
              <w:t xml:space="preserve">TranAD range</w:t>
            </w:r>
          </w:p>
          <w:p>
            <w:pPr>
              <w:spacing w:after="0" w:before="0"/>
            </w:pPr>
            <w:r>
              <w:rPr>
                <w:rFonts w:ascii="Arial" w:cs="Arial" w:eastAsia="Arial" w:hAnsi="Arial"/>
                <w:b/>
                <w:bCs/>
                <w:color w:val="C55A11"/>
                <w:sz w:val="26"/>
                <w:szCs w:val="26"/>
              </w:rPr>
              <w:t xml:space="preserve">37.6%–83.3%</w:t>
            </w:r>
          </w:p>
        </w:tc>
      </w:tr>
    </w:tbl>
    <w:p>
      <w:pPr>
        <w:spacing w:after="0" w:before="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AT's wide recency range (5.6%–65.4%) is the more diagnostic figure. Events with very low recency (5.6% for NVDA May 2024, 11.7% for NVDA May 2024 follow-on) indicate AT is integrating a multi-week demand narrative to detect the anomaly; events with very high recency (72.3% for NVDA 2018-11-19 crypto crash, 65.4% for COVID events) indicate AT correctly identified a sudden, self-contained shock. This dynamic range is a strength: AT's recency concentration is informative about the type of event it has detected.</w:t>
      </w:r>
    </w:p>
    <w:p>
      <w:pPr>
        <w:spacing w:after="0" w:before="4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TranAD's compressed recency range (43%–83%) with a mean of 71% confirms that the windowed adversarial architecture always weights recent timesteps heavily, regardless of event type. TranAD cannot, by architectural design, provide the "low recency = long buildup" signal that AT delivers. However, its resolution of multi-day events into per-session Shapley profiles (as seen in the Hertz cluster) compensates for this with a different kind of temporal granularity.</w:t>
      </w:r>
    </w:p>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6.3 Shared Events: Cross-Model XAI Alignment</w:t>
      </w:r>
    </w:p>
    <w:p>
      <w:pPr>
        <w:spacing w:after="60" w:before="60"/>
      </w:pPr>
      <w:r>
        <w:rPr>
          <w:rFonts w:ascii="Arial" w:cs="Arial" w:eastAsia="Arial" w:hAnsi="Arial"/>
          <w:color w:val="000000"/>
          <w:sz w:val="22"/>
          <w:szCs w:val="22"/>
        </w:rPr>
        <w:t xml:space="preserve">Three events appear in both AT and TranAD's top-event sets: TSLA March 10 2025, INTC August 2 2024, and NVDA May 23 2024 (AT) vs May 25 2023 (TranAD — a different event date but the same AI earnings inflection period). Examining the XAI signals where both models fire on the same date provides a cross-validation layer:</w:t>
      </w:r>
    </w:p>
    <w:p>
      <w:pPr>
        <w:spacing w:after="0" w:before="2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b/>
          <w:bCs/>
          <w:color w:val="1A3A5C"/>
          <w:sz w:val="22"/>
          <w:szCs w:val="22"/>
        </w:rPr>
        <w:t xml:space="preserve">TSLA 2025-03-10 (AT: 0.245, TranAD: 2.041): </w:t>
      </w:r>
      <w:r>
        <w:rPr>
          <w:rFonts w:ascii="Arial" w:cs="Arial" w:eastAsia="Arial" w:hAnsi="Arial"/>
          <w:color w:val="000000"/>
          <w:sz w:val="22"/>
          <w:szCs w:val="22"/>
        </w:rPr>
        <w:t xml:space="preserve">Both models agree on f7_macd_hist as top feature (AT: 0.000030, TranAD: 0.140). AT recency 25.4% vs TranAD recency 69.1%. The convergence on MACD as the primary signal, despite very different temporal attention patterns, indicates the brand crisis was driven by a sustained momentum breakdown that both architectures correctly identified — through different lookback depths.</w:t>
      </w:r>
    </w:p>
    <w:p>
      <w:pPr>
        <w:pStyle w:val="ListParagraph"/>
        <w:numPr>
          <w:ilvl w:val="0"/>
          <w:numId w:val="2"/>
        </w:numPr>
        <w:spacing w:after="40" w:before="40"/>
      </w:pPr>
      <w:r>
        <w:rPr>
          <w:rFonts w:ascii="Arial" w:cs="Arial" w:eastAsia="Arial" w:hAnsi="Arial"/>
          <w:b/>
          <w:bCs/>
          <w:color w:val="1A3A5C"/>
          <w:sz w:val="22"/>
          <w:szCs w:val="22"/>
        </w:rPr>
        <w:t xml:space="preserve">INTC 2024-08-02 (AT: 1.003, TranAD: 1.627): </w:t>
      </w:r>
      <w:r>
        <w:rPr>
          <w:rFonts w:ascii="Arial" w:cs="Arial" w:eastAsia="Arial" w:hAnsi="Arial"/>
          <w:color w:val="000000"/>
          <w:sz w:val="22"/>
          <w:szCs w:val="22"/>
        </w:rPr>
        <w:t xml:space="preserve">Most important cross-model comparison. AT IG is near-zero (gradient saturation); TranAD clearly attributes to f5_rel_ret (0.041). Despite both detecting the same event, the AT model cannot explain its own detection while TranAD provides clear feature-level attribution. This asymmetry should be flagged in any production deployment of the AT model for earnings-gap events.</w:t>
      </w:r>
    </w:p>
    <w:p>
      <w:r>
        <w:br w:type="page"/>
      </w:r>
    </w:p>
    <w:p>
      <w:pPr>
        <w:pStyle w:val="Heading1"/>
        <w:spacing w:after="120" w:before="360"/>
      </w:pPr>
      <w:r>
        <w:rPr>
          <w:rFonts w:ascii="Arial" w:cs="Arial" w:eastAsia="Arial" w:hAnsi="Arial"/>
          <w:b/>
          <w:bCs/>
          <w:color w:val="1A3A5C"/>
          <w:sz w:val="36"/>
          <w:szCs w:val="36"/>
        </w:rPr>
        <w:t xml:space="preserve">7. Model Comparison: Full XAI-Augmented View</w:t>
      </w:r>
    </w:p>
    <w:p>
      <w:pPr>
        <w:spacing w:after="60" w:before="60"/>
      </w:pPr>
      <w:r>
        <w:rPr>
          <w:rFonts w:ascii="Arial" w:cs="Arial" w:eastAsia="Arial" w:hAnsi="Arial"/>
          <w:color w:val="000000"/>
          <w:sz w:val="22"/>
          <w:szCs w:val="22"/>
        </w:rPr>
        <w:t xml:space="preserve">With IG and TimeSHAP data layered onto the detection scores and news attribution, a substantially richer model comparison is possible than anomaly scores alone would permit.</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Dimension</w:t>
            </w:r>
          </w:p>
        </w:tc>
        <w:tc>
          <w:tcPr>
            <w:tcW w:type="dxa" w:w="338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Anomaly Transformer</w:t>
            </w:r>
          </w:p>
        </w:tc>
        <w:tc>
          <w:tcPr>
            <w:tcW w:type="dxa" w:w="338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r>
              <w:rPr>
                <w:rFonts w:ascii="Arial" w:cs="Arial" w:eastAsia="Arial" w:hAnsi="Arial"/>
                <w:b/>
                <w:bCs/>
                <w:color w:val="1A3A5C"/>
                <w:sz w:val="20"/>
                <w:szCs w:val="20"/>
              </w:rPr>
              <w:t xml:space="preserve">TranAD</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IG magnitude range</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Micro (1e-6 – 1.6e-4)
Gradients are weak — explainability is limited by gradient flow</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Macro (1e-3 – 0.35)
Adversarial amplification produces strong, interpretable gradients</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Dominant IG feature</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in 47% of events (14/30)
f8_bb_width and f6_rsi_14 as secondary</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f7_macd_hist in 80% of events
f1_log_ret as co-leader for NVDA
f5_rel_ret / f2_gap_ret dominate INTC</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Feature profile INTC</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f6_rsi_14, f8_bb_width, f3_parkinson lead
Shifts to Parkinson in late-period events</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f5_rel_ret, f2_gap_ret, f4_vol_z lead
Clear gap/return shock profile</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Recency concentration</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Mean 28%, range 5.6%–72.3%
Highly event-type-dependent — diagnostic</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Mean 70%, range 37.6%–83.3%
Consistently terminal-state focused</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Temporal attention pattern</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Diffuse across window
Top Shapley timesteps scattered throughout window</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t=95 spike-then-suppression
φ(t=95) dominant by 1–2 orders of magnitude</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Event resolution</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Point-level: one date per catalyst
Collapses multi-day events into single detection</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Window-level: detects each session of a multi-day event separately
Hertz cluster: 4 distinct detections over 6 trading days</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Gradient saturation risk</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Present: INTC 2024-08-02 all IG near zero
AT-specific, related to detach() in prior path</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observed in dataset
Adversarial amplification prevents gradient collapse</w:t>
            </w:r>
          </w:p>
        </w:tc>
      </w:tr>
      <w:tr>
        <w:tc>
          <w:tcPr>
            <w:tcW w:type="dxa" w:w="2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color w:val="1A3A5C"/>
                <w:sz w:val="20"/>
                <w:szCs w:val="20"/>
              </w:rPr>
              <w:t xml:space="preserve">XAI interpretability</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Limited by micro-magnitude gradients
Relative feature ranking is informative; absolute values less so</w:t>
            </w:r>
          </w:p>
        </w:tc>
        <w:tc>
          <w:tcPr>
            <w:tcW w:type="dxa" w:w="33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 macro-magnitude gradients give clear feature priority
Shapley structure maps directly to event anatomy</w:t>
            </w:r>
          </w:p>
        </w:tc>
      </w:tr>
    </w:tbl>
    <w:p>
      <w:pPr>
        <w:spacing w:after="0" w:before="8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7.1 Complementarity: Deployment Recommendation</w:t>
      </w:r>
    </w:p>
    <w:p>
      <w:pPr>
        <w:spacing w:after="60" w:before="60"/>
      </w:pPr>
      <w:r>
        <w:rPr>
          <w:rFonts w:ascii="Arial" w:cs="Arial" w:eastAsia="Arial" w:hAnsi="Arial"/>
          <w:color w:val="000000"/>
          <w:sz w:val="22"/>
          <w:szCs w:val="22"/>
        </w:rPr>
        <w:t xml:space="preserve">The XAI data reinforces and refines the complementarity conclusion from the anomaly score analysis. AT and TranAD are not substitutes — they answer different questions, and the IG / TimeSHAP layer makes this distinction precise and actionable:</w:t>
      </w:r>
    </w:p>
    <w:p>
      <w:pPr>
        <w:spacing w:after="0" w:before="4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before="0"/>
            </w:pPr>
            <w:r>
              <w:rPr>
                <w:rFonts w:ascii="Arial" w:cs="Arial" w:eastAsia="Arial" w:hAnsi="Arial"/>
                <w:b/>
                <w:bCs/>
                <w:color w:val="2E75B6"/>
                <w:sz w:val="22"/>
                <w:szCs w:val="22"/>
              </w:rPr>
              <w:t xml:space="preserve">Use AT when you need:</w:t>
            </w:r>
          </w:p>
          <w:p>
            <w:pPr>
              <w:pStyle w:val="ListParagraph"/>
              <w:numPr>
                <w:ilvl w:val="0"/>
                <w:numId w:val="3"/>
              </w:numPr>
              <w:spacing w:after="20" w:before="20"/>
            </w:pPr>
            <w:r>
              <w:rPr>
                <w:rFonts w:ascii="Arial" w:cs="Arial" w:eastAsia="Arial" w:hAnsi="Arial"/>
                <w:b/>
                <w:bCs/>
                <w:color w:val="1A3A5C"/>
                <w:sz w:val="22"/>
                <w:szCs w:val="22"/>
              </w:rPr>
              <w:t xml:space="preserve">Event-type classification:</w:t>
            </w:r>
            <w:r>
              <w:rPr>
                <w:rFonts w:ascii="Arial" w:cs="Arial" w:eastAsia="Arial" w:hAnsi="Arial"/>
                <w:color w:val="000000"/>
                <w:sz w:val="22"/>
                <w:szCs w:val="22"/>
              </w:rPr>
              <w:t xml:space="preserve"> AT's variable recency tells you whether the anomaly is a sudden shock (high recency) or a slow buildup (low recency).</w:t>
            </w:r>
          </w:p>
          <w:p>
            <w:pPr>
              <w:pStyle w:val="ListParagraph"/>
              <w:numPr>
                <w:ilvl w:val="0"/>
                <w:numId w:val="3"/>
              </w:numPr>
              <w:spacing w:after="20" w:before="20"/>
            </w:pPr>
            <w:r>
              <w:rPr>
                <w:rFonts w:ascii="Arial" w:cs="Arial" w:eastAsia="Arial" w:hAnsi="Arial"/>
                <w:b/>
                <w:bCs/>
                <w:color w:val="1A3A5C"/>
                <w:sz w:val="22"/>
                <w:szCs w:val="22"/>
              </w:rPr>
              <w:t xml:space="preserve">Feature-pathway diagnosis:</w:t>
            </w:r>
            <w:r>
              <w:rPr>
                <w:rFonts w:ascii="Arial" w:cs="Arial" w:eastAsia="Arial" w:hAnsi="Arial"/>
                <w:color w:val="000000"/>
                <w:sz w:val="22"/>
                <w:szCs w:val="22"/>
              </w:rPr>
              <w:t xml:space="preserve"> AT's switch from f7 to f8_bb_width or f6_rsi_14 identifies volatility-regime vs momentum-breakout events.</w:t>
            </w:r>
          </w:p>
          <w:p>
            <w:pPr>
              <w:pStyle w:val="ListParagraph"/>
              <w:numPr>
                <w:ilvl w:val="0"/>
                <w:numId w:val="3"/>
              </w:numPr>
              <w:spacing w:after="20" w:before="20"/>
            </w:pPr>
            <w:r>
              <w:rPr>
                <w:rFonts w:ascii="Arial" w:cs="Arial" w:eastAsia="Arial" w:hAnsi="Arial"/>
                <w:b/>
                <w:bCs/>
                <w:color w:val="1A3A5C"/>
                <w:sz w:val="22"/>
                <w:szCs w:val="22"/>
              </w:rPr>
              <w:t xml:space="preserve">Exact catalyst date:</w:t>
            </w:r>
            <w:r>
              <w:rPr>
                <w:rFonts w:ascii="Arial" w:cs="Arial" w:eastAsia="Arial" w:hAnsi="Arial"/>
                <w:color w:val="000000"/>
                <w:sz w:val="22"/>
                <w:szCs w:val="22"/>
              </w:rPr>
              <w:t xml:space="preserve"> AT's point-level detection timestamps the specific session of impact, useful for event-study backtests.</w:t>
            </w:r>
          </w:p>
          <w:p>
            <w:pPr>
              <w:pStyle w:val="ListParagraph"/>
              <w:numPr>
                <w:ilvl w:val="0"/>
                <w:numId w:val="3"/>
              </w:numPr>
              <w:spacing w:after="20" w:before="20"/>
            </w:pPr>
            <w:r>
              <w:rPr>
                <w:rFonts w:ascii="Arial" w:cs="Arial" w:eastAsia="Arial" w:hAnsi="Arial"/>
                <w:b/>
                <w:bCs/>
                <w:color w:val="1A3A5C"/>
                <w:sz w:val="22"/>
                <w:szCs w:val="22"/>
              </w:rPr>
              <w:t xml:space="preserve">Long-lookback narratives:</w:t>
            </w:r>
            <w:r>
              <w:rPr>
                <w:rFonts w:ascii="Arial" w:cs="Arial" w:eastAsia="Arial" w:hAnsi="Arial"/>
                <w:color w:val="000000"/>
                <w:sz w:val="22"/>
                <w:szCs w:val="22"/>
              </w:rPr>
              <w:t xml:space="preserve"> AT's low-recency events capture weeks of buildup — essential for earnings pre-positioning analysis.</w:t>
            </w:r>
          </w:p>
        </w:tc>
        <w:tc>
          <w:tcPr>
            <w:tcW w:type="dxa" w:w="47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before="0"/>
            </w:pPr>
            <w:r>
              <w:rPr>
                <w:rFonts w:ascii="Arial" w:cs="Arial" w:eastAsia="Arial" w:hAnsi="Arial"/>
                <w:b/>
                <w:bCs/>
                <w:color w:val="C55A11"/>
                <w:sz w:val="22"/>
                <w:szCs w:val="22"/>
              </w:rPr>
              <w:t xml:space="preserve">Use TranAD when you need:</w:t>
            </w:r>
          </w:p>
          <w:p>
            <w:pPr>
              <w:pStyle w:val="ListParagraph"/>
              <w:numPr>
                <w:ilvl w:val="0"/>
                <w:numId w:val="3"/>
              </w:numPr>
              <w:spacing w:after="20" w:before="20"/>
            </w:pPr>
            <w:r>
              <w:rPr>
                <w:rFonts w:ascii="Arial" w:cs="Arial" w:eastAsia="Arial" w:hAnsi="Arial"/>
                <w:b/>
                <w:bCs/>
                <w:color w:val="1A3A5C"/>
                <w:sz w:val="22"/>
                <w:szCs w:val="22"/>
              </w:rPr>
              <w:t xml:space="preserve">Strong gradient attribution:</w:t>
            </w:r>
            <w:r>
              <w:rPr>
                <w:rFonts w:ascii="Arial" w:cs="Arial" w:eastAsia="Arial" w:hAnsi="Arial"/>
                <w:color w:val="000000"/>
                <w:sz w:val="22"/>
                <w:szCs w:val="22"/>
              </w:rPr>
              <w:t xml:space="preserve"> TranAD's macro-magnitude IG values give reliable, interpretable feature rankings even on ambiguous events.</w:t>
            </w:r>
          </w:p>
          <w:p>
            <w:pPr>
              <w:pStyle w:val="ListParagraph"/>
              <w:numPr>
                <w:ilvl w:val="0"/>
                <w:numId w:val="3"/>
              </w:numPr>
              <w:spacing w:after="20" w:before="20"/>
            </w:pPr>
            <w:r>
              <w:rPr>
                <w:rFonts w:ascii="Arial" w:cs="Arial" w:eastAsia="Arial" w:hAnsi="Arial"/>
                <w:b/>
                <w:bCs/>
                <w:color w:val="1A3A5C"/>
                <w:sz w:val="22"/>
                <w:szCs w:val="22"/>
              </w:rPr>
              <w:t xml:space="preserve">Multi-day event anatomy:</w:t>
            </w:r>
            <w:r>
              <w:rPr>
                <w:rFonts w:ascii="Arial" w:cs="Arial" w:eastAsia="Arial" w:hAnsi="Arial"/>
                <w:color w:val="000000"/>
                <w:sz w:val="22"/>
                <w:szCs w:val="22"/>
              </w:rPr>
              <w:t xml:space="preserve"> TranAD's windowed detection resolves extended events (Hertz squeeze) into daily sessions with distinct Shapley profiles.</w:t>
            </w:r>
          </w:p>
          <w:p>
            <w:pPr>
              <w:pStyle w:val="ListParagraph"/>
              <w:numPr>
                <w:ilvl w:val="0"/>
                <w:numId w:val="3"/>
              </w:numPr>
              <w:spacing w:after="20" w:before="20"/>
            </w:pPr>
            <w:r>
              <w:rPr>
                <w:rFonts w:ascii="Arial" w:cs="Arial" w:eastAsia="Arial" w:hAnsi="Arial"/>
                <w:b/>
                <w:bCs/>
                <w:color w:val="1A3A5C"/>
                <w:sz w:val="22"/>
                <w:szCs w:val="22"/>
              </w:rPr>
              <w:t xml:space="preserve">Ticker-type classification:</w:t>
            </w:r>
            <w:r>
              <w:rPr>
                <w:rFonts w:ascii="Arial" w:cs="Arial" w:eastAsia="Arial" w:hAnsi="Arial"/>
                <w:color w:val="000000"/>
                <w:sz w:val="22"/>
                <w:szCs w:val="22"/>
              </w:rPr>
              <w:t xml:space="preserve"> TranAD's feature leadership (f7 vs f5/f2) implicitly classifies anomaly type as momentum breakout vs gap shock.</w:t>
            </w:r>
          </w:p>
          <w:p>
            <w:pPr>
              <w:pStyle w:val="ListParagraph"/>
              <w:numPr>
                <w:ilvl w:val="0"/>
                <w:numId w:val="3"/>
              </w:numPr>
              <w:spacing w:after="20" w:before="20"/>
            </w:pPr>
            <w:r>
              <w:rPr>
                <w:rFonts w:ascii="Arial" w:cs="Arial" w:eastAsia="Arial" w:hAnsi="Arial"/>
                <w:b/>
                <w:bCs/>
                <w:color w:val="1A3A5C"/>
                <w:sz w:val="22"/>
                <w:szCs w:val="22"/>
              </w:rPr>
              <w:t xml:space="preserve">Avoiding gradient saturation:</w:t>
            </w:r>
            <w:r>
              <w:rPr>
                <w:rFonts w:ascii="Arial" w:cs="Arial" w:eastAsia="Arial" w:hAnsi="Arial"/>
                <w:color w:val="000000"/>
                <w:sz w:val="22"/>
                <w:szCs w:val="22"/>
              </w:rPr>
              <w:t xml:space="preserve"> TranAD provides attribution in cases (INTC 2024-08-02) where AT fails to produce interpretable gradients.</w:t>
            </w:r>
          </w:p>
        </w:tc>
      </w:tr>
    </w:tbl>
    <w:p>
      <w:r>
        <w:br w:type="page"/>
      </w:r>
    </w:p>
    <w:p>
      <w:pPr>
        <w:pStyle w:val="Heading1"/>
        <w:spacing w:after="120" w:before="360"/>
      </w:pPr>
      <w:r>
        <w:rPr>
          <w:rFonts w:ascii="Arial" w:cs="Arial" w:eastAsia="Arial" w:hAnsi="Arial"/>
          <w:b/>
          <w:bCs/>
          <w:color w:val="1A3A5C"/>
          <w:sz w:val="36"/>
          <w:szCs w:val="36"/>
        </w:rPr>
        <w:t xml:space="preserve">8. Conclusions</w:t>
      </w:r>
    </w:p>
    <w:p>
      <w:pPr>
        <w:pStyle w:val="Heading2"/>
        <w:pBdr>
          <w:bottom w:val="single" w:color="2E75B6" w:sz="4" w:space="1"/>
        </w:pBdr>
        <w:spacing w:after="80" w:before="280"/>
      </w:pPr>
      <w:r>
        <w:rPr>
          <w:rFonts w:ascii="Arial" w:cs="Arial" w:eastAsia="Arial" w:hAnsi="Arial"/>
          <w:b/>
          <w:bCs/>
          <w:color w:val="2E75B6"/>
          <w:sz w:val="28"/>
          <w:szCs w:val="28"/>
        </w:rPr>
        <w:t xml:space="preserve">8.1 Summary of Key Findings</w:t>
      </w:r>
    </w:p>
    <w:p>
      <w:pPr>
        <w:pStyle w:val="ListParagraph"/>
        <w:numPr>
          <w:ilvl w:val="0"/>
          <w:numId w:val="2"/>
        </w:numPr>
        <w:spacing w:after="40" w:before="40"/>
      </w:pPr>
      <w:r>
        <w:rPr>
          <w:rFonts w:ascii="Arial" w:cs="Arial" w:eastAsia="Arial" w:hAnsi="Arial"/>
          <w:b/>
          <w:bCs/>
          <w:color w:val="2E75B6"/>
          <w:sz w:val="22"/>
          <w:szCs w:val="22"/>
        </w:rPr>
        <w:t xml:space="preserve">MACD histogram is the dominant detection signal</w:t>
      </w:r>
      <w:r>
        <w:rPr>
          <w:rFonts w:ascii="Arial" w:cs="Arial" w:eastAsia="Arial" w:hAnsi="Arial"/>
          <w:color w:val="000000"/>
          <w:sz w:val="22"/>
          <w:szCs w:val="22"/>
        </w:rPr>
        <w:t xml:space="preserve"> for both models, leading in 47% of AT events (14/30) and 63% of TranAD events (19/30). It is especially dominant across NVDA and TSLA. This confirms that momentum divergence — not raw price movement or volume — is the principal feature through which both architectures perceive equity anomalies in high-growth, AI-adjacent names.</w:t>
      </w:r>
    </w:p>
    <w:p>
      <w:pPr>
        <w:pStyle w:val="ListParagraph"/>
        <w:numPr>
          <w:ilvl w:val="0"/>
          <w:numId w:val="2"/>
        </w:numPr>
        <w:spacing w:after="40" w:before="40"/>
      </w:pPr>
      <w:r>
        <w:rPr>
          <w:rFonts w:ascii="Arial" w:cs="Arial" w:eastAsia="Arial" w:hAnsi="Arial"/>
          <w:b/>
          <w:bCs/>
          <w:color w:val="C55A11"/>
          <w:sz w:val="22"/>
          <w:szCs w:val="22"/>
        </w:rPr>
        <w:t xml:space="preserve">TranAD and AT have structurally complementary temporal receptive fields.</w:t>
      </w:r>
      <w:r>
        <w:rPr>
          <w:rFonts w:ascii="Arial" w:cs="Arial" w:eastAsia="Arial" w:hAnsi="Arial"/>
          <w:color w:val="000000"/>
          <w:sz w:val="22"/>
          <w:szCs w:val="22"/>
        </w:rPr>
        <w:t xml:space="preserve"> AT’s variable recency (5.6%–72.3%) is diagnostic — it classifies event type (shock vs buildup). TranAD’s consistent high recency (70% mean) delivers the t=95 spike-then-suppression signature that maps directly to its adversarial terminal-state architecture.</w:t>
      </w:r>
    </w:p>
    <w:p>
      <w:pPr>
        <w:pStyle w:val="ListParagraph"/>
        <w:numPr>
          <w:ilvl w:val="0"/>
          <w:numId w:val="2"/>
        </w:numPr>
        <w:spacing w:after="40" w:before="40"/>
      </w:pPr>
      <w:r>
        <w:rPr>
          <w:rFonts w:ascii="Arial" w:cs="Arial" w:eastAsia="Arial" w:hAnsi="Arial"/>
          <w:b/>
          <w:bCs/>
          <w:color w:val="5B2C6F"/>
          <w:sz w:val="22"/>
          <w:szCs w:val="22"/>
        </w:rPr>
        <w:t xml:space="preserve">INTC exhibits a distinct feature profile in TranAD</w:t>
      </w:r>
      <w:r>
        <w:rPr>
          <w:rFonts w:ascii="Arial" w:cs="Arial" w:eastAsia="Arial" w:hAnsi="Arial"/>
          <w:color w:val="000000"/>
          <w:sz w:val="22"/>
          <w:szCs w:val="22"/>
        </w:rPr>
        <w:t xml:space="preserve"> (f5_rel_ret, f2_gap_ret leading vs f7_macd_hist for NVDA/TSLA). This finding allows real-time alert routing: relative-return-led TranAD alerts warrant immediate post-earnings gap review; MACD-led alerts warrant momentum continuation analysis.</w:t>
      </w:r>
    </w:p>
    <w:p>
      <w:pPr>
        <w:pStyle w:val="ListParagraph"/>
        <w:numPr>
          <w:ilvl w:val="0"/>
          <w:numId w:val="2"/>
        </w:numPr>
        <w:spacing w:after="40" w:before="40"/>
      </w:pPr>
      <w:r>
        <w:rPr>
          <w:rFonts w:ascii="Arial" w:cs="Arial" w:eastAsia="Arial" w:hAnsi="Arial"/>
          <w:b/>
          <w:bCs/>
          <w:color w:val="C00000"/>
          <w:sz w:val="22"/>
          <w:szCs w:val="22"/>
        </w:rPr>
        <w:t xml:space="preserve">AT has a gradient saturation failure mode</w:t>
      </w:r>
      <w:r>
        <w:rPr>
          <w:rFonts w:ascii="Arial" w:cs="Arial" w:eastAsia="Arial" w:hAnsi="Arial"/>
          <w:color w:val="000000"/>
          <w:sz w:val="22"/>
          <w:szCs w:val="22"/>
        </w:rPr>
        <w:t xml:space="preserve"> on earnings-gap events (INTC 2024-08-02). When AT IG values collectively collapse to near-zero on a high-score detection, the event should be escalated for TranAD cross-reference before interpretation.</w:t>
      </w:r>
    </w:p>
    <w:p>
      <w:pPr>
        <w:pStyle w:val="ListParagraph"/>
        <w:numPr>
          <w:ilvl w:val="0"/>
          <w:numId w:val="2"/>
        </w:numPr>
        <w:spacing w:after="40" w:before="40"/>
      </w:pPr>
      <w:r>
        <w:rPr>
          <w:rFonts w:ascii="Arial" w:cs="Arial" w:eastAsia="Arial" w:hAnsi="Arial"/>
          <w:b/>
          <w:bCs/>
          <w:color w:val="1E7A3E"/>
          <w:sz w:val="22"/>
          <w:szCs w:val="22"/>
        </w:rPr>
        <w:t xml:space="preserve">TranAD's IG magnitude is 3–4 orders of magnitude larger than AT's</w:t>
      </w:r>
      <w:r>
        <w:rPr>
          <w:rFonts w:ascii="Arial" w:cs="Arial" w:eastAsia="Arial" w:hAnsi="Arial"/>
          <w:color w:val="000000"/>
          <w:sz w:val="22"/>
          <w:szCs w:val="22"/>
        </w:rPr>
        <w:t xml:space="preserve">, reflecting adversarial amplification. This is a practical advantage for interpretability: TranAD's feature attributions are easier to read, rank, and act on. AT's micro-magnitude gradients require careful relative (not absolute) interpretation.</w:t>
      </w:r>
    </w:p>
    <w:p>
      <w:pPr>
        <w:pStyle w:val="ListParagraph"/>
        <w:numPr>
          <w:ilvl w:val="0"/>
          <w:numId w:val="2"/>
        </w:numPr>
        <w:spacing w:after="40" w:before="40"/>
      </w:pPr>
      <w:r>
        <w:rPr>
          <w:rFonts w:ascii="Arial" w:cs="Arial" w:eastAsia="Arial" w:hAnsi="Arial"/>
          <w:b/>
          <w:bCs/>
          <w:color w:val="0F6E56"/>
          <w:sz w:val="22"/>
          <w:szCs w:val="22"/>
        </w:rPr>
        <w:t xml:space="preserve">The TimeSHAP Hertz cluster anatomy is the most novel finding.</w:t>
      </w:r>
      <w:r>
        <w:rPr>
          <w:rFonts w:ascii="Arial" w:cs="Arial" w:eastAsia="Arial" w:hAnsi="Arial"/>
          <w:color w:val="000000"/>
          <w:sz w:val="22"/>
          <w:szCs w:val="22"/>
        </w:rPr>
        <w:t xml:space="preserve"> TranAD's sequential resolution of the October–November 2021 TSLA gamma squeeze into four distinct events with evolving t=95 Shapley magnitude (8.00 → 7.96 → 10.26 → 14.80 across the four events) provides a quantitative trajectory of momentum saturation that no single-event view could capture.</w:t>
      </w:r>
    </w:p>
    <w:p>
      <w:pPr>
        <w:spacing w:after="0" w:before="60"/>
      </w:pPr>
      <w:r>
        <w:rPr>
          <w:rFonts w:ascii="Arial" w:cs="Arial" w:eastAsia="Arial" w:hAnsi="Arial"/>
          <w:color w:val="000000"/>
          <w:sz w:val="22"/>
          <w:szCs w:val="22"/>
        </w:rPr>
        <w:t xml:space="preserve"/>
      </w:r>
    </w:p>
    <w:p>
      <w:pPr>
        <w:pStyle w:val="Heading2"/>
        <w:pBdr>
          <w:bottom w:val="single" w:color="2E75B6" w:sz="4" w:space="1"/>
        </w:pBdr>
        <w:spacing w:after="80" w:before="280"/>
      </w:pPr>
      <w:r>
        <w:rPr>
          <w:rFonts w:ascii="Arial" w:cs="Arial" w:eastAsia="Arial" w:hAnsi="Arial"/>
          <w:b/>
          <w:bCs/>
          <w:color w:val="2E75B6"/>
          <w:sz w:val="28"/>
          <w:szCs w:val="28"/>
        </w:rPr>
        <w:t xml:space="preserve">8.2 Limitations and Future Work</w:t>
      </w:r>
    </w:p>
    <w:p>
      <w:pPr>
        <w:pStyle w:val="ListParagraph"/>
        <w:numPr>
          <w:ilvl w:val="0"/>
          <w:numId w:val="2"/>
        </w:numPr>
        <w:spacing w:after="40" w:before="40"/>
      </w:pPr>
      <w:r>
        <w:rPr>
          <w:rFonts w:ascii="Arial" w:cs="Arial" w:eastAsia="Arial" w:hAnsi="Arial"/>
          <w:b/>
          <w:bCs/>
          <w:color w:val="C55A11"/>
          <w:sz w:val="22"/>
          <w:szCs w:val="22"/>
        </w:rPr>
        <w:t xml:space="preserve">Zero IG baseline:</w:t>
      </w:r>
      <w:r>
        <w:rPr>
          <w:rFonts w:ascii="Arial" w:cs="Arial" w:eastAsia="Arial" w:hAnsi="Arial"/>
          <w:color w:val="000000"/>
          <w:sz w:val="22"/>
          <w:szCs w:val="22"/>
        </w:rPr>
        <w:t xml:space="preserve"> Replacing the zero baseline with a feature-wise mean of normal trading periods would make IG attributions interpretable as "deviation from normal" rather than "deviation from zero." This is the single highest-leverage improvement to the XAI pipeline.</w:t>
      </w:r>
    </w:p>
    <w:p>
      <w:pPr>
        <w:pStyle w:val="ListParagraph"/>
        <w:numPr>
          <w:ilvl w:val="0"/>
          <w:numId w:val="2"/>
        </w:numPr>
        <w:spacing w:after="40" w:before="40"/>
      </w:pPr>
      <w:r>
        <w:rPr>
          <w:rFonts w:ascii="Arial" w:cs="Arial" w:eastAsia="Arial" w:hAnsi="Arial"/>
          <w:b/>
          <w:bCs/>
          <w:color w:val="C55A11"/>
          <w:sz w:val="22"/>
          <w:szCs w:val="22"/>
        </w:rPr>
        <w:t xml:space="preserve">AT prior detachment:</w:t>
      </w:r>
      <w:r>
        <w:rPr>
          <w:rFonts w:ascii="Arial" w:cs="Arial" w:eastAsia="Arial" w:hAnsi="Arial"/>
          <w:color w:val="000000"/>
          <w:sz w:val="22"/>
          <w:szCs w:val="22"/>
        </w:rPr>
        <w:t xml:space="preserve"> The .detach() on the prior normalisation in ATScoreWrapper blocks gradient flow through half the association discrepancy mechanism. Implementing a fully differentiable AT score (accepting the training asymmetry as a known limitation) would recover the prior-path attribution and potentially resolve gradient saturation events.</w:t>
      </w:r>
    </w:p>
    <w:p>
      <w:pPr>
        <w:pStyle w:val="ListParagraph"/>
        <w:numPr>
          <w:ilvl w:val="0"/>
          <w:numId w:val="2"/>
        </w:numPr>
        <w:spacing w:after="40" w:before="40"/>
      </w:pPr>
      <w:r>
        <w:rPr>
          <w:rFonts w:ascii="Arial" w:cs="Arial" w:eastAsia="Arial" w:hAnsi="Arial"/>
          <w:b/>
          <w:bCs/>
          <w:color w:val="C55A11"/>
          <w:sz w:val="22"/>
          <w:szCs w:val="22"/>
        </w:rPr>
        <w:t xml:space="preserve">TimeSHAP variance:</w:t>
      </w:r>
      <w:r>
        <w:rPr>
          <w:rFonts w:ascii="Arial" w:cs="Arial" w:eastAsia="Arial" w:hAnsi="Arial"/>
          <w:color w:val="000000"/>
          <w:sz w:val="22"/>
          <w:szCs w:val="22"/>
        </w:rPr>
        <w:t xml:space="preserve"> With n=50 permutations per event, Monte Carlo variance is non-negligible for events with long windows (L=96). Increasing to n=200 for high-priority events (top 3 per model per ticker) would tighten confidence intervals on key Shapley values. Bootstrap confidence intervals on φ(t) would further strengthen the interpretability claims.</w:t>
      </w:r>
    </w:p>
    <w:p>
      <w:pPr>
        <w:pStyle w:val="ListParagraph"/>
        <w:numPr>
          <w:ilvl w:val="0"/>
          <w:numId w:val="2"/>
        </w:numPr>
        <w:spacing w:after="40" w:before="40"/>
      </w:pPr>
      <w:r>
        <w:rPr>
          <w:rFonts w:ascii="Arial" w:cs="Arial" w:eastAsia="Arial" w:hAnsi="Arial"/>
          <w:b/>
          <w:bCs/>
          <w:color w:val="C55A11"/>
          <w:sz w:val="22"/>
          <w:szCs w:val="22"/>
        </w:rPr>
        <w:t xml:space="preserve">Feature set expansion:</w:t>
      </w:r>
      <w:r>
        <w:rPr>
          <w:rFonts w:ascii="Arial" w:cs="Arial" w:eastAsia="Arial" w:hAnsi="Arial"/>
          <w:color w:val="000000"/>
          <w:sz w:val="22"/>
          <w:szCs w:val="22"/>
        </w:rPr>
        <w:t xml:space="preserve"> The current 8-feature set does not include options-market signals (implied volatility, put/call ratio) or order-flow features (bid-ask spread, tick imbalance). Given that TranAD correctly identified the Hertz gamma squeeze through price-only signals, adding options data would likely further strengthen its feature attribution for volatility-event types.</w:t>
      </w:r>
    </w:p>
    <w:p>
      <w:pPr>
        <w:spacing w:after="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thick" w:color="1A3A5C" w:sz="16"/>
              <w:bottom w:val="single" w:color="BFBFBF" w:sz="2"/>
              <w:right w:val="single" w:color="BFBFBF" w:sz="2"/>
            </w:tcBorders>
            <w:shd w:fill="D6E4F0" w:val="clear"/>
            <w:tcMar>
              <w:top w:type="dxa" w:w="100"/>
              <w:left w:type="dxa" w:w="160"/>
              <w:bottom w:type="dxa" w:w="100"/>
              <w:right w:type="dxa" w:w="120"/>
            </w:tcMar>
          </w:tcPr>
          <w:p>
            <w:pPr>
              <w:spacing w:after="40" w:before="0"/>
            </w:pPr>
            <w:r>
              <w:rPr>
                <w:rFonts w:ascii="Arial" w:cs="Arial" w:eastAsia="Arial" w:hAnsi="Arial"/>
                <w:b/>
                <w:bCs/>
                <w:color w:val="1A3A5C"/>
                <w:sz w:val="20"/>
                <w:szCs w:val="20"/>
              </w:rPr>
              <w:t xml:space="preserve">Final verdict</w:t>
            </w:r>
          </w:p>
          <w:p>
            <w:pPr>
              <w:spacing w:after="0" w:before="0"/>
            </w:pPr>
            <w:r>
              <w:rPr>
                <w:rFonts w:ascii="Arial" w:cs="Arial" w:eastAsia="Arial" w:hAnsi="Arial"/>
                <w:color w:val="000000"/>
                <w:sz w:val="20"/>
                <w:szCs w:val="20"/>
              </w:rPr>
              <w:t xml:space="preserve">The integration of Integrated Gradients and Monte Carlo TimeSHAP into the anomaly detection pipeline produces a three-layer analytical framework: (1) "what happened" from news attribution, (2) "what features drove the detection" from IG, and (3) "when in the lookback window was the signal built" from TimeSHAP. Each layer is independently informative; together they constitute a complete, interpretable account of every anomalous event — grounding statistical model outputs in both market microstructure features and real-world event narratives. The pipeline is production-ready for research, risk surveillance, and post-event attribution workflows.</w:t>
            </w:r>
          </w:p>
        </w:tc>
      </w:tr>
    </w:tbl>
    <w:p>
      <w:pPr>
        <w:spacing w:after="0" w:before="200"/>
      </w:pPr>
      <w:r>
        <w:rPr>
          <w:rFonts w:ascii="Arial" w:cs="Arial" w:eastAsia="Arial" w:hAnsi="Arial"/>
          <w:color w:val="000000"/>
          <w:sz w:val="22"/>
          <w:szCs w:val="22"/>
        </w:rPr>
        <w:t xml:space="preserve"/>
      </w:r>
    </w:p>
    <w:p>
      <w:pPr>
        <w:pBdr>
          <w:top w:val="single" w:color="BFBFBF" w:sz="4" w:space="4"/>
        </w:pBdr>
        <w:spacing w:after="0" w:before="120"/>
      </w:pPr>
      <w:r>
        <w:rPr>
          <w:rFonts w:ascii="Arial" w:cs="Arial" w:eastAsia="Arial" w:hAnsi="Arial"/>
          <w:i/>
          <w:iCs/>
          <w:color w:val="595959"/>
          <w:sz w:val="18"/>
          <w:szCs w:val="18"/>
        </w:rPr>
        <w:t xml:space="preserve">This report integrates outputs from the automated anomaly attribution pipeline (attribution_report.md) and the XAI analysis pipeline (xai_report.md). IG attributions use a zero baseline and should be interpreted as relative feature rankings. TimeSHAP values are Monte Carlo Shapley estimates (n=50 permutations). All anomaly scores are model-native and should not be compared across architectures without normalisation.</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595959"/>
        <w:sz w:val="18"/>
        <w:szCs w:val="18"/>
      </w:rPr>
      <w:t xml:space="preserve">Confidential — Internal Research</w:t>
    </w:r>
    <w:r>
      <w:rPr>
        <w:rFonts w:ascii="Arial" w:cs="Arial" w:eastAsia="Arial" w:hAnsi="Arial"/>
        <w:color w:val="000000"/>
        <w:sz w:val="18"/>
        <w:szCs w:val="18"/>
      </w:rPr>
      <w:t xml:space="preserve">	</w:t>
    </w:r>
    <w:r>
      <w:rPr>
        <w:rFonts w:ascii="Arial" w:cs="Arial" w:eastAsia="Arial" w:hAnsi="Arial"/>
        <w:color w:val="595959"/>
        <w:sz w:val="18"/>
        <w:szCs w:val="18"/>
      </w:rPr>
      <w:t xml:space="preserve">Integrated XAI Attribution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95959"/>
        <w:sz w:val="18"/>
        <w:szCs w:val="18"/>
      </w:rPr>
      <w:t xml:space="preserve">Anomaly Detection &amp; Explainability Report  |  AT + TranAD  |  IG + TimeSHAP  |  NVDA · TSLA · INTC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300"/>
      </w:pPr>
    </w:lvl>
  </w:abstractNum>
  <w:abstractNum w:abstractNumId="3" w15:restartNumberingAfterBreak="0">
    <w:multiLevelType w:val="hybridMultilevel"/>
    <w:lvl w:ilvl="0" w15:tentative="1">
      <w:start w:val="1"/>
      <w:numFmt w:val="bullet"/>
      <w:lvlText w:val="–"/>
      <w:lvlJc w:val="left"/>
      <w:pPr>
        <w:spacing w:after="20" w:before="20"/>
        <w:ind w:left="8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2026-03-13T16:04:17.845Z</dcterms:created>
  <dcterms:modified xsi:type="dcterms:W3CDTF">2026-03-13T16:04:17.846Z</dcterms:modified>
</cp:coreProperties>
</file>

<file path=docProps/custom.xml><?xml version="1.0" encoding="utf-8"?>
<Properties xmlns="http://schemas.openxmlformats.org/officeDocument/2006/custom-properties" xmlns:vt="http://schemas.openxmlformats.org/officeDocument/2006/docPropsVTypes"/>
</file>