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39.jpg" ContentType="image/jpeg"/>
  <Override PartName="/word/media/rId34.jpg" ContentType="image/jpeg"/>
  <Override PartName="/word/media/rId30.jpg" ContentType="image/jpeg"/>
  <Override PartName="/word/media/rId59.jpg" ContentType="image/jpeg"/>
  <Override PartName="/word/media/rId21.png" ContentType="image/png"/>
  <Override PartName="/word/media/rId82.png" ContentType="image/png"/>
  <Override PartName="/word/media/rId76.png" ContentType="image/png"/>
  <Override PartName="/word/media/rId70.png" ContentType="image/png"/>
  <Override PartName="/word/media/rId67.png" ContentType="image/png"/>
  <Override PartName="/word/media/rId64.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numPr>
          <w:ilvl w:val="0"/>
          <w:numId w:val="1001"/>
        </w:numPr>
        <w:pStyle w:val="Compact"/>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numPr>
          <w:ilvl w:val="0"/>
          <w:numId w:val="1001"/>
        </w:numPr>
        <w:pStyle w:val="Compact"/>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numPr>
          <w:ilvl w:val="0"/>
          <w:numId w:val="1001"/>
        </w:numPr>
        <w:pStyle w:val="Compact"/>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406139"/>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406139"/>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3"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numPr>
          <w:ilvl w:val="0"/>
          <w:numId w:val="1002"/>
        </w:numPr>
        <w:pStyle w:val="Compact"/>
      </w:pPr>
      <w:r>
        <w:t xml:space="preserve">A submitter sends us the sequencing data three different ways;</w:t>
      </w:r>
    </w:p>
    <w:p>
      <w:pPr>
        <w:numPr>
          <w:ilvl w:val="1"/>
          <w:numId w:val="1003"/>
        </w:numPr>
        <w:pStyle w:val="Compact"/>
      </w:pPr>
      <w:r>
        <w:t xml:space="preserve">as tabular data via secure file transfer (SFT)</w:t>
      </w:r>
    </w:p>
    <w:p>
      <w:pPr>
        <w:numPr>
          <w:ilvl w:val="1"/>
          <w:numId w:val="1003"/>
        </w:numPr>
        <w:pStyle w:val="Compact"/>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numPr>
          <w:ilvl w:val="1"/>
          <w:numId w:val="1003"/>
        </w:numPr>
        <w:pStyle w:val="Compact"/>
      </w:pPr>
      <w:r>
        <w:t xml:space="preserve">via ELR or electronic lab reporting that is automatically connected to our database</w:t>
      </w:r>
    </w:p>
    <w:p>
      <w:pPr>
        <w:numPr>
          <w:ilvl w:val="0"/>
          <w:numId w:val="1002"/>
        </w:numPr>
        <w:pStyle w:val="Compact"/>
      </w:pPr>
      <w:r>
        <w:t xml:space="preserve">Our pipeline will extract, transform, and link that data to a case in WDRS</w:t>
      </w:r>
    </w:p>
    <w:p>
      <w:pPr>
        <w:numPr>
          <w:ilvl w:val="0"/>
          <w:numId w:val="1002"/>
        </w:numPr>
        <w:pStyle w:val="Compact"/>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ook w:firstRow="0" w:lastRow="0" w:firstColumn="0" w:lastColumn="0" w:noHBand="0" w:noVBand="0" w:val="0000"/>
        <w:jc w:val="start"/>
        <w:tblLayout w:type="fixed"/>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ook w:firstRow="0" w:lastRow="0" w:firstColumn="0" w:lastColumn="0" w:noHBand="0" w:noVBand="0" w:val="0000"/>
        <w:jc w:val="start"/>
        <w:tblLayout w:type="fixed"/>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8"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pulls"/>
          <w:p>
            <w:pPr>
              <w:pStyle w:val="Compact"/>
              <w:jc w:val="center"/>
            </w:pPr>
            <w:bookmarkStart w:id="42" w:name="fig-pulls"/>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bookmarkEnd w:id="42"/>
          </w:p>
          <w:p>
            <w:pPr>
              <w:jc w:val="center"/>
            </w:pPr>
            <w:pPr>
              <w:jc w:val="start"/>
              <w:spacing w:before="200"/>
              <w:pStyle w:val="ImageCaption"/>
            </w:pPr>
            <w:r>
              <w:t xml:space="preserve">Figure 3</w:t>
            </w:r>
          </w:p>
          <w:bookmarkEnd w:id="43"/>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4" w:name="data-pulls"/>
    <w:p>
      <w:pPr>
        <w:pStyle w:val="Heading3"/>
      </w:pPr>
      <w:r>
        <w:t xml:space="preserve">Data Pulls</w:t>
      </w:r>
    </w:p>
    <w:p>
      <w:pPr>
        <w:pStyle w:val="FirstParagraph"/>
      </w:pPr>
      <w:r>
        <w:rPr>
          <w:bCs/>
          <w:b/>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Cs/>
          <w:b/>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4"/>
    <w:bookmarkStart w:id="47" w:name="external-processes"/>
    <w:p>
      <w:pPr>
        <w:pStyle w:val="Heading3"/>
      </w:pPr>
      <w:r>
        <w:t xml:space="preserve">External Processes</w:t>
      </w:r>
    </w:p>
    <w:p>
      <w:pPr>
        <w:pStyle w:val="FirstParagraph"/>
      </w:pPr>
      <w:r>
        <w:rPr>
          <w:bCs/>
          <w:b/>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Cs/>
          <w:b/>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w:t>
      </w:r>
      <w:hyperlink r:id="rId45">
        <w:r>
          <w:rPr>
            <w:rStyle w:val="Hyperlink"/>
          </w:rPr>
          <w:t xml:space="preserve">https://cov-lineages.org/lineage_list.html</w:t>
        </w:r>
      </w:hyperlink>
      <w:r>
        <w:t xml:space="preserve">).</w:t>
      </w:r>
    </w:p>
    <w:bookmarkStart w:id="46"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Cs/>
          <w:b/>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Cs/>
          <w:b/>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6"/>
    <w:bookmarkEnd w:id="47"/>
    <w:bookmarkEnd w:id="48"/>
    <w:bookmarkStart w:id="52"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ook w:firstRow="0" w:lastRow="0" w:firstColumn="0" w:lastColumn="0" w:noHBand="0" w:noVBand="0" w:val="0000"/>
        <w:jc w:val="start"/>
        <w:tblLayout w:type="fixed"/>
      </w:tblPr>
      <w:tblGrid>
        <w:gridCol w:w="7920"/>
      </w:tblGrid>
      <w:tr>
        <w:tc>
          <w:tcPr/>
          <w:bookmarkStart w:id="49"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ook w:firstRow="1" w:lastRow="0" w:firstColumn="0" w:lastColumn="0" w:noHBand="0" w:noVBand="0" w:val="0020"/>
              <w:jc w:val="start"/>
              <w:tblLayout w:type="fixed"/>
            </w:tblPr>
            <w:tblGrid>
              <w:gridCol w:w="2530"/>
              <w:gridCol w:w="539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5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1"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51"/>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2"/>
    <w:bookmarkEnd w:id="53"/>
    <w:bookmarkStart w:id="103"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4">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5">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6">
        <w:r>
          <w:rPr>
            <w:rStyle w:val="Hyperlink"/>
          </w:rPr>
          <w:t xml:space="preserve">template_submitters.Rmd</w:t>
        </w:r>
      </w:hyperlink>
      <w:r>
        <w:t xml:space="preserve"> </w:t>
      </w:r>
      <w:r>
        <w:t xml:space="preserve">performs the task of processing template submission.</w:t>
      </w:r>
      <w:r>
        <w:t xml:space="preserve"> </w:t>
      </w:r>
      <w:hyperlink r:id="rId57">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8">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ook w:firstRow="0" w:lastRow="0" w:firstColumn="0" w:lastColumn="0" w:noHBand="0" w:noVBand="0" w:val="0000"/>
        <w:jc w:val="start"/>
        <w:tblLayout w:type="fixed"/>
      </w:tblPr>
      <w:tblGrid>
        <w:gridCol w:w="7920"/>
      </w:tblGrid>
      <w:tr>
        <w:tc>
          <w:tcPr/>
          <w:bookmarkStart w:id="63" w:name="fig-roster"/>
          <w:p>
            <w:pPr>
              <w:pStyle w:val="Compact"/>
              <w:jc w:val="center"/>
            </w:pPr>
            <w:bookmarkStart w:id="62" w:name="fig-roster"/>
            <w:r>
              <w:drawing>
                <wp:inline>
                  <wp:extent cx="5334000" cy="2675773"/>
                  <wp:effectExtent b="0" l="0" r="0" t="0"/>
                  <wp:docPr descr="" title="" id="60" name="Picture"/>
                  <a:graphic>
                    <a:graphicData uri="http://schemas.openxmlformats.org/drawingml/2006/picture">
                      <pic:pic>
                        <pic:nvPicPr>
                          <pic:cNvPr descr="assets/roster.jpg" id="61" name="Picture"/>
                          <pic:cNvPicPr>
                            <a:picLocks noChangeArrowheads="1" noChangeAspect="1"/>
                          </pic:cNvPicPr>
                        </pic:nvPicPr>
                        <pic:blipFill>
                          <a:blip r:embed="rId59"/>
                          <a:stretch>
                            <a:fillRect/>
                          </a:stretch>
                        </pic:blipFill>
                        <pic:spPr bwMode="auto">
                          <a:xfrm>
                            <a:off x="0" y="0"/>
                            <a:ext cx="5334000" cy="2675773"/>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4</w:t>
            </w:r>
          </w:p>
          <w:bookmarkEnd w:id="63"/>
        </w:tc>
      </w:tr>
    </w:tbl>
    <w:bookmarkStart w:id="94"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04487" cy="466344"/>
            <wp:effectExtent b="0" l="0" r="0" t="0"/>
            <wp:docPr descr="" title="" id="65" name="Picture"/>
            <a:graphic>
              <a:graphicData uri="http://schemas.openxmlformats.org/drawingml/2006/picture">
                <pic:pic>
                  <pic:nvPicPr>
                    <pic:cNvPr descr="index_files/figure-docx/mermaid-figure-6.png" id="66" name="Picture"/>
                    <pic:cNvPicPr>
                      <a:picLocks noChangeArrowheads="1" noChangeAspect="1"/>
                    </pic:cNvPicPr>
                  </pic:nvPicPr>
                  <pic:blipFill>
                    <a:blip r:embed="rId64"/>
                    <a:stretch>
                      <a:fillRect/>
                    </a:stretch>
                  </pic:blipFill>
                  <pic:spPr bwMode="auto">
                    <a:xfrm>
                      <a:off x="0" y="0"/>
                      <a:ext cx="3904487" cy="466344"/>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66750"/>
            <wp:effectExtent b="0" l="0" r="0" t="0"/>
            <wp:docPr descr="" title="" id="68" name="Picture"/>
            <a:graphic>
              <a:graphicData uri="http://schemas.openxmlformats.org/drawingml/2006/picture">
                <pic:pic>
                  <pic:nvPicPr>
                    <pic:cNvPr descr="index_files/figure-docx/mermaid-figure-5.png" id="69" name="Picture"/>
                    <pic:cNvPicPr>
                      <a:picLocks noChangeArrowheads="1" noChangeAspect="1"/>
                    </pic:cNvPicPr>
                  </pic:nvPicPr>
                  <pic:blipFill>
                    <a:blip r:embed="rId67"/>
                    <a:stretch>
                      <a:fillRect/>
                    </a:stretch>
                  </pic:blipFill>
                  <pic:spPr bwMode="auto">
                    <a:xfrm>
                      <a:off x="0" y="0"/>
                      <a:ext cx="5334000" cy="66675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4"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5">
        <w:r>
          <w:rPr>
            <w:rStyle w:val="Hyperlink"/>
          </w:rPr>
          <w:t xml:space="preserve">the ELR notebook</w:t>
        </w:r>
      </w:hyperlink>
      <w:r>
        <w:t xml:space="preserve">. From a high-level overview, the script will:</w:t>
      </w:r>
    </w:p>
    <w:p>
      <w:pPr>
        <w:numPr>
          <w:ilvl w:val="0"/>
          <w:numId w:val="1004"/>
        </w:numPr>
        <w:pStyle w:val="Compact"/>
      </w:pPr>
      <w:r>
        <w:t xml:space="preserve">WELRS/DRIVE process, match, and fill the entire/lab tables but not sequencing table​</w:t>
      </w:r>
    </w:p>
    <w:p>
      <w:pPr>
        <w:numPr>
          <w:ilvl w:val="0"/>
          <w:numId w:val="1004"/>
        </w:numPr>
        <w:pStyle w:val="Compact"/>
      </w:pPr>
      <w:r>
        <w:t xml:space="preserve">No QA processing​</w:t>
      </w:r>
    </w:p>
    <w:p>
      <w:pPr>
        <w:numPr>
          <w:ilvl w:val="0"/>
          <w:numId w:val="1004"/>
        </w:numPr>
        <w:pStyle w:val="Compact"/>
      </w:pPr>
      <w:r>
        <w:t xml:space="preserve">Sequencing table is built as an after thought​</w:t>
      </w:r>
    </w:p>
    <w:p>
      <w:pPr>
        <w:numPr>
          <w:ilvl w:val="0"/>
          <w:numId w:val="1004"/>
        </w:numPr>
        <w:pStyle w:val="Compact"/>
      </w:pPr>
      <w:r>
        <w:t xml:space="preserve">WELRS/DRIVE is somewhat of a black box to us (changes without knowing, don’t have oversight on mismatches)​</w:t>
      </w:r>
    </w:p>
    <w:p>
      <w:pPr>
        <w:numPr>
          <w:ilvl w:val="0"/>
          <w:numId w:val="1004"/>
        </w:numPr>
        <w:pStyle w:val="Compact"/>
      </w:pPr>
      <w:r>
        <w:t xml:space="preserve">Our ELR script will extract from the entire table, transform, QA, and send via roster​</w:t>
      </w:r>
    </w:p>
    <w:tbl>
      <w:tblPr>
        <w:tblStyle w:val="Table"/>
        <w:tblW w:type="pct" w:w="5000"/>
        <w:tblLook w:firstRow="0" w:lastRow="0" w:firstColumn="0" w:lastColumn="0" w:noHBand="0" w:noVBand="0" w:val="0000"/>
        <w:jc w:val="start"/>
        <w:tblLayout w:type="fixed"/>
      </w:tblPr>
      <w:tblGrid>
        <w:gridCol w:w="7920"/>
      </w:tblGrid>
      <w:tr>
        <w:tc>
          <w:tcPr/>
          <w:bookmarkStart w:id="73" w:name="fig-elrflow"/>
          <w:p>
            <w:pPr>
              <w:jc w:val="center"/>
            </w:pPr>
            <w:r>
              <w:drawing>
                <wp:inline>
                  <wp:extent cx="2743200" cy="5687568"/>
                  <wp:effectExtent b="0" l="0" r="0" t="0"/>
                  <wp:docPr descr="" title="" id="71" name="Picture"/>
                  <a:graphic>
                    <a:graphicData uri="http://schemas.openxmlformats.org/drawingml/2006/picture">
                      <pic:pic>
                        <pic:nvPicPr>
                          <pic:cNvPr descr="index_files/figure-docx/mermaid-figure-4.png" id="72" name="Picture"/>
                          <pic:cNvPicPr>
                            <a:picLocks noChangeArrowheads="1" noChangeAspect="1"/>
                          </pic:cNvPicPr>
                        </pic:nvPicPr>
                        <pic:blipFill>
                          <a:blip r:embed="rId70"/>
                          <a:stretch>
                            <a:fillRect/>
                          </a:stretch>
                        </pic:blipFill>
                        <pic:spPr bwMode="auto">
                          <a:xfrm>
                            <a:off x="0" y="0"/>
                            <a:ext cx="2743200" cy="56875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4"/>
    <w:bookmarkStart w:id="80"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5">
        <w:r>
          <w:rPr>
            <w:rStyle w:val="Hyperlink"/>
          </w:rPr>
          <w:t xml:space="preserve">more details here</w:t>
        </w:r>
      </w:hyperlink>
      <w:r>
        <w:t xml:space="preserve"> </w:t>
      </w:r>
      <w:r>
        <w:t xml:space="preserve">and for all script details see</w:t>
      </w:r>
      <w:r>
        <w:t xml:space="preserve"> </w:t>
      </w:r>
      <w:hyperlink r:id="rId57">
        <w:r>
          <w:rPr>
            <w:rStyle w:val="Hyperlink"/>
          </w:rPr>
          <w:t xml:space="preserve">the PHL notebook</w:t>
        </w:r>
      </w:hyperlink>
      <w:r>
        <w:t xml:space="preserve">. From a high-level overview, the script will:</w:t>
      </w:r>
    </w:p>
    <w:p>
      <w:pPr>
        <w:numPr>
          <w:ilvl w:val="0"/>
          <w:numId w:val="1005"/>
        </w:numPr>
        <w:pStyle w:val="Compact"/>
      </w:pPr>
      <w:r>
        <w:t xml:space="preserve">Scrape from StarLIMS​</w:t>
      </w:r>
    </w:p>
    <w:p>
      <w:pPr>
        <w:numPr>
          <w:ilvl w:val="0"/>
          <w:numId w:val="1005"/>
        </w:numPr>
        <w:pStyle w:val="Compact"/>
      </w:pPr>
      <w:r>
        <w:t xml:space="preserve">Match to a WDRS case ​</w:t>
      </w:r>
    </w:p>
    <w:p>
      <w:pPr>
        <w:numPr>
          <w:ilvl w:val="0"/>
          <w:numId w:val="1005"/>
        </w:numPr>
        <w:pStyle w:val="Compact"/>
      </w:pPr>
      <w:r>
        <w:t xml:space="preserve">If no match based on</w:t>
      </w:r>
      <w:r>
        <w:t xml:space="preserve"> </w:t>
      </w:r>
      <w:r>
        <w:rPr>
          <w:rStyle w:val="VerbatimChar"/>
        </w:rPr>
        <w:t xml:space="preserve">FILLER_ORDER_NUM</w:t>
      </w:r>
      <w:r>
        <w:t xml:space="preserve"> then match on demographics​</w:t>
      </w:r>
    </w:p>
    <w:p>
      <w:pPr>
        <w:numPr>
          <w:ilvl w:val="0"/>
          <w:numId w:val="1005"/>
        </w:numPr>
        <w:pStyle w:val="Compact"/>
      </w:pPr>
      <w:r>
        <w:t xml:space="preserve">Uses a processed file to eliminate feedback loops (prevent failed records from being processed every run)​</w:t>
      </w:r>
    </w:p>
    <w:p>
      <w:pPr>
        <w:numPr>
          <w:ilvl w:val="0"/>
          <w:numId w:val="1005"/>
        </w:numPr>
        <w:pStyle w:val="Compact"/>
      </w:pPr>
      <w:r>
        <w:t xml:space="preserve">Fields may change in starLIMS without our knowledge​</w:t>
      </w:r>
    </w:p>
    <w:tbl>
      <w:tblPr>
        <w:tblStyle w:val="Table"/>
        <w:tblW w:type="pct" w:w="5000"/>
        <w:tblLook w:firstRow="0" w:lastRow="0" w:firstColumn="0" w:lastColumn="0" w:noHBand="0" w:noVBand="0" w:val="0000"/>
        <w:jc w:val="start"/>
        <w:tblLayout w:type="fixed"/>
      </w:tblPr>
      <w:tblGrid>
        <w:gridCol w:w="7920"/>
      </w:tblGrid>
      <w:tr>
        <w:tc>
          <w:tcPr/>
          <w:bookmarkStart w:id="79" w:name="fig-phlflow"/>
          <w:p>
            <w:pPr>
              <w:jc w:val="center"/>
            </w:pPr>
            <w:r>
              <w:drawing>
                <wp:inline>
                  <wp:extent cx="2743200" cy="5111496"/>
                  <wp:effectExtent b="0" l="0" r="0" t="0"/>
                  <wp:docPr descr="" title="" id="77" name="Picture"/>
                  <a:graphic>
                    <a:graphicData uri="http://schemas.openxmlformats.org/drawingml/2006/picture">
                      <pic:pic>
                        <pic:nvPicPr>
                          <pic:cNvPr descr="index_files/figure-docx/mermaid-figure-3.png" id="78" name="Picture"/>
                          <pic:cNvPicPr>
                            <a:picLocks noChangeArrowheads="1" noChangeAspect="1"/>
                          </pic:cNvPicPr>
                        </pic:nvPicPr>
                        <pic:blipFill>
                          <a:blip r:embed="rId76"/>
                          <a:stretch>
                            <a:fillRect/>
                          </a:stretch>
                        </pic:blipFill>
                        <pic:spPr bwMode="auto">
                          <a:xfrm>
                            <a:off x="0" y="0"/>
                            <a:ext cx="2743200" cy="5111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9"/>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0"/>
    <w:bookmarkStart w:id="86"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6">
        <w:r>
          <w:rPr>
            <w:rStyle w:val="Hyperlink"/>
          </w:rPr>
          <w:t xml:space="preserve">the template submitters notebook</w:t>
        </w:r>
      </w:hyperlink>
      <w:r>
        <w:t xml:space="preserve">. From a high-level overview, the script will:</w:t>
      </w:r>
    </w:p>
    <w:p>
      <w:pPr>
        <w:numPr>
          <w:ilvl w:val="0"/>
          <w:numId w:val="1006"/>
        </w:numPr>
        <w:pStyle w:val="Compact"/>
      </w:pPr>
      <w:r>
        <w:t xml:space="preserve">Labs send us a</w:t>
      </w:r>
      <w:r>
        <w:t xml:space="preserve"> </w:t>
      </w:r>
      <w:r>
        <w:rPr>
          <w:rStyle w:val="VerbatimChar"/>
        </w:rPr>
        <w:t xml:space="preserve">.csv</w:t>
      </w:r>
      <w:r>
        <w:t xml:space="preserve"> </w:t>
      </w:r>
      <w:r>
        <w:t xml:space="preserve">file into our MFT site​</w:t>
      </w:r>
    </w:p>
    <w:p>
      <w:pPr>
        <w:numPr>
          <w:ilvl w:val="0"/>
          <w:numId w:val="1006"/>
        </w:numPr>
        <w:pStyle w:val="Compact"/>
      </w:pPr>
      <w:r>
        <w:t xml:space="preserve">All data follows a specific template created by Cory​</w:t>
      </w:r>
    </w:p>
    <w:p>
      <w:pPr>
        <w:numPr>
          <w:ilvl w:val="0"/>
          <w:numId w:val="1006"/>
        </w:numPr>
        <w:pStyle w:val="Compact"/>
      </w:pPr>
      <w:r>
        <w:t xml:space="preserve">Scrape the site and download the</w:t>
      </w:r>
      <w:r>
        <w:t xml:space="preserve"> </w:t>
      </w:r>
      <w:r>
        <w:rPr>
          <w:rStyle w:val="VerbatimChar"/>
        </w:rPr>
        <w:t xml:space="preserve">.csv</w:t>
      </w:r>
      <w:r>
        <w:t xml:space="preserve"> </w:t>
      </w:r>
      <w:r>
        <w:t xml:space="preserve">files for each lab​</w:t>
      </w:r>
    </w:p>
    <w:p>
      <w:pPr>
        <w:numPr>
          <w:ilvl w:val="0"/>
          <w:numId w:val="1006"/>
        </w:numPr>
        <w:pStyle w:val="Compact"/>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ook w:firstRow="0" w:lastRow="0" w:firstColumn="0" w:lastColumn="0" w:noHBand="0" w:noVBand="0" w:val="0000"/>
        <w:jc w:val="start"/>
        <w:tblLayout w:type="fixed"/>
      </w:tblPr>
      <w:tblGrid>
        <w:gridCol w:w="7920"/>
      </w:tblGrid>
      <w:tr>
        <w:tc>
          <w:tcPr/>
          <w:bookmarkStart w:id="81" w:name="tbl-template"/>
          <w:p>
            <w:pPr>
              <w:jc w:val="center"/>
            </w:pPr>
            <w:pPr>
              <w:jc w:val="start"/>
              <w:spacing w:before="200"/>
              <w:pStyle w:val="ImageCaption"/>
            </w:pPr>
            <w:r>
              <w:t xml:space="preserve">Table 4: Template Data Variables</w:t>
            </w:r>
          </w:p>
          <w:tbl>
            <w:tblPr>
              <w:tblStyle w:val="Table"/>
              <w:tblW w:type="pct" w:w="5000"/>
              <w:tblLook w:firstRow="1" w:lastRow="0" w:firstColumn="0" w:lastColumn="0" w:noHBand="0" w:noVBand="0" w:val="0020"/>
              <w:jc w:val="start"/>
              <w:tblLayout w:type="fixed"/>
            </w:tblPr>
            <w:tblGrid>
              <w:gridCol w:w="3190"/>
              <w:gridCol w:w="2750"/>
              <w:gridCol w:w="198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81"/>
          <w:p/>
        </w:tc>
      </w:tr>
    </w:tbl>
    <w:tbl>
      <w:tblPr>
        <w:tblStyle w:val="Table"/>
        <w:tblW w:type="pct" w:w="5000"/>
        <w:tblLook w:firstRow="0" w:lastRow="0" w:firstColumn="0" w:lastColumn="0" w:noHBand="0" w:noVBand="0" w:val="0000"/>
        <w:jc w:val="start"/>
        <w:tblLayout w:type="fixed"/>
      </w:tblPr>
      <w:tblGrid>
        <w:gridCol w:w="7920"/>
      </w:tblGrid>
      <w:tr>
        <w:tc>
          <w:tcPr/>
          <w:bookmarkStart w:id="85" w:name="fig-templateflow"/>
          <w:p>
            <w:pPr>
              <w:jc w:val="center"/>
            </w:pPr>
            <w:r>
              <w:drawing>
                <wp:inline>
                  <wp:extent cx="2743200" cy="3584448"/>
                  <wp:effectExtent b="0" l="0" r="0" t="0"/>
                  <wp:docPr descr="" title="" id="83" name="Picture"/>
                  <a:graphic>
                    <a:graphicData uri="http://schemas.openxmlformats.org/drawingml/2006/picture">
                      <pic:pic>
                        <pic:nvPicPr>
                          <pic:cNvPr descr="index_files/figure-docx/mermaid-figure-2.png" id="84" name="Picture"/>
                          <pic:cNvPicPr>
                            <a:picLocks noChangeArrowheads="1" noChangeAspect="1"/>
                          </pic:cNvPicPr>
                        </pic:nvPicPr>
                        <pic:blipFill>
                          <a:blip r:embed="rId82"/>
                          <a:stretch>
                            <a:fillRect/>
                          </a:stretch>
                        </pic:blipFill>
                        <pic:spPr bwMode="auto">
                          <a:xfrm>
                            <a:off x="0" y="0"/>
                            <a:ext cx="2743200" cy="35844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5"/>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6"/>
    <w:bookmarkStart w:id="93"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7">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2" w:name="fig-examplewdrs"/>
          <w:p>
            <w:pPr>
              <w:pStyle w:val="Compact"/>
              <w:jc w:val="center"/>
            </w:pPr>
            <w:bookmarkStart w:id="91" w:name="fig-examplewdrs"/>
            <w:r>
              <w:drawing>
                <wp:inline>
                  <wp:extent cx="5334000" cy="3571706"/>
                  <wp:effectExtent b="0" l="0" r="0" t="0"/>
                  <wp:docPr descr="" title="" id="89" name="Picture"/>
                  <a:graphic>
                    <a:graphicData uri="http://schemas.openxmlformats.org/drawingml/2006/picture">
                      <pic:pic>
                        <pic:nvPicPr>
                          <pic:cNvPr descr="assets/example_qp_frontend.png" id="90" name="Picture"/>
                          <pic:cNvPicPr>
                            <a:picLocks noChangeArrowheads="1" noChangeAspect="1"/>
                          </pic:cNvPicPr>
                        </pic:nvPicPr>
                        <pic:blipFill>
                          <a:blip r:embed="rId88"/>
                          <a:stretch>
                            <a:fillRect/>
                          </a:stretch>
                        </pic:blipFill>
                        <pic:spPr bwMode="auto">
                          <a:xfrm>
                            <a:off x="0" y="0"/>
                            <a:ext cx="5334000" cy="3571706"/>
                          </a:xfrm>
                          <a:prstGeom prst="rect">
                            <a:avLst/>
                          </a:prstGeom>
                          <a:noFill/>
                          <a:ln w="9525">
                            <a:noFill/>
                            <a:headEnd/>
                            <a:tailEnd/>
                          </a:ln>
                        </pic:spPr>
                      </pic:pic>
                    </a:graphicData>
                  </a:graphic>
                </wp:inline>
              </w:drawing>
            </w:r>
            <w:bookmarkEnd w:id="91"/>
          </w:p>
          <w:p>
            <w:pPr>
              <w:jc w:val="center"/>
            </w:pPr>
            <w:pPr>
              <w:jc w:val="start"/>
              <w:spacing w:before="200"/>
              <w:pStyle w:val="ImageCaption"/>
            </w:pPr>
            <w:r>
              <w:t xml:space="preserve">Figure 8</w:t>
            </w:r>
          </w:p>
          <w:bookmarkEnd w:id="92"/>
        </w:tc>
      </w:tr>
    </w:tbl>
    <w:bookmarkEnd w:id="93"/>
    <w:bookmarkEnd w:id="94"/>
    <w:bookmarkStart w:id="96"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ook w:firstRow="0" w:lastRow="0" w:firstColumn="0" w:lastColumn="0" w:noHBand="0" w:noVBand="0" w:val="0000"/>
        <w:jc w:val="start"/>
        <w:tblLayout w:type="fixed"/>
      </w:tblPr>
      <w:tblGrid>
        <w:gridCol w:w="7920"/>
      </w:tblGrid>
      <w:tr>
        <w:tc>
          <w:tcPr/>
          <w:bookmarkStart w:id="95" w:name="tbl-review"/>
          <w:p>
            <w:pPr>
              <w:jc w:val="center"/>
            </w:pPr>
            <w:pPr>
              <w:jc w:val="start"/>
              <w:spacing w:before="200"/>
              <w:pStyle w:val="ImageCaption"/>
            </w:pPr>
            <w:r>
              <w:t xml:space="preserve">Table 5: For review quality issue tags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5"/>
          <w:p/>
        </w:tc>
      </w:tr>
    </w:tbl>
    <w:bookmarkEnd w:id="96"/>
    <w:bookmarkStart w:id="100"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7">
        <w:r>
          <w:rPr>
            <w:rStyle w:val="Hyperlink"/>
          </w:rPr>
          <w:t xml:space="preserve">fuzzy matching script</w:t>
        </w:r>
      </w:hyperlink>
      <w:r>
        <w:t xml:space="preserve"> </w:t>
      </w:r>
      <w:r>
        <w:t xml:space="preserve">uses</w:t>
      </w:r>
      <w:r>
        <w:t xml:space="preserve"> </w:t>
      </w:r>
      <w:hyperlink r:id="rId98">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ook w:firstRow="0" w:lastRow="0" w:firstColumn="0" w:lastColumn="0" w:noHBand="0" w:noVBand="0" w:val="0000"/>
        <w:jc w:val="start"/>
        <w:tblLayout w:type="fixed"/>
      </w:tblPr>
      <w:tblGrid>
        <w:gridCol w:w="7920"/>
      </w:tblGrid>
      <w:tr>
        <w:tc>
          <w:tcPr/>
          <w:bookmarkStart w:id="99"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9"/>
          <w:p/>
        </w:tc>
      </w:tr>
    </w:tbl>
    <w:bookmarkEnd w:id="100"/>
    <w:bookmarkStart w:id="102"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101">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102"/>
    <w:bookmarkEnd w:id="103"/>
    <w:bookmarkStart w:id="107" w:name="qa-processes"/>
    <w:p>
      <w:pPr>
        <w:pStyle w:val="Heading1"/>
      </w:pPr>
      <w:r>
        <w:t xml:space="preserve">QA Processes</w:t>
      </w:r>
    </w:p>
    <w:bookmarkStart w:id="104" w:name="gap-data"/>
    <w:p>
      <w:pPr>
        <w:pStyle w:val="Heading2"/>
      </w:pPr>
      <w:r>
        <w:t xml:space="preserve">Gap data</w:t>
      </w:r>
    </w:p>
    <w:p>
      <w:pPr>
        <w:pStyle w:val="FirstParagraph"/>
      </w:pPr>
      <w:r>
        <w:rPr>
          <w:bCs/>
          <w:b/>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4"/>
    <w:bookmarkStart w:id="106"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ook w:firstRow="0" w:lastRow="0" w:firstColumn="0" w:lastColumn="0" w:noHBand="0" w:noVBand="0" w:val="0000"/>
        <w:jc w:val="start"/>
        <w:tblLayout w:type="fixed"/>
      </w:tblPr>
      <w:tblGrid>
        <w:gridCol w:w="7920"/>
      </w:tblGrid>
      <w:tr>
        <w:tc>
          <w:tcPr/>
          <w:bookmarkStart w:id="105" w:name="tbl-qachecks"/>
          <w:p>
            <w:pPr>
              <w:jc w:val="center"/>
            </w:pPr>
            <w:pPr>
              <w:jc w:val="start"/>
              <w:spacing w:before="200"/>
              <w:pStyle w:val="ImageCaption"/>
            </w:pPr>
            <w:r>
              <w:t xml:space="preserve">Table 7: WDRS QA Checks</w:t>
            </w:r>
          </w:p>
          <w:tbl>
            <w:tblPr>
              <w:tblStyle w:val="Table"/>
              <w:tblW w:type="pct" w:w="5000"/>
              <w:tblLook w:firstRow="1" w:lastRow="0" w:firstColumn="0" w:lastColumn="0" w:noHBand="0" w:noVBand="0" w:val="0020"/>
              <w:jc w:val="start"/>
              <w:tblLayout w:type="fixed"/>
            </w:tblPr>
            <w:tblGrid>
              <w:gridCol w:w="4180"/>
              <w:gridCol w:w="3740"/>
            </w:tblGrid>
            <w:tr>
              <w:trPr>
                <w:tblHeader w:val="true"/>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5"/>
          <w:p/>
        </w:tc>
      </w:tr>
    </w:tbl>
    <w:bookmarkEnd w:id="106"/>
    <w:bookmarkEnd w:id="107"/>
    <w:bookmarkStart w:id="125"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111" w:name="fig-countprop"/>
          <w:p>
            <w:pPr>
              <w:pStyle w:val="Compact"/>
              <w:jc w:val="center"/>
            </w:pPr>
            <w:r>
              <w:drawing>
                <wp:inline>
                  <wp:extent cx="5334000" cy="3810000"/>
                  <wp:effectExtent b="0" l="0" r="0" t="0"/>
                  <wp:docPr descr="" title="" id="109" name="Picture"/>
                  <a:graphic>
                    <a:graphicData uri="http://schemas.openxmlformats.org/drawingml/2006/picture">
                      <pic:pic>
                        <pic:nvPicPr>
                          <pic:cNvPr descr="index_files/figure-docx/notebooks-pipeline_counts-fig-countprop-output-1.png" id="110" name="Picture"/>
                          <pic:cNvPicPr>
                            <a:picLocks noChangeArrowheads="1" noChangeAspect="1"/>
                          </pic:cNvPicPr>
                        </pic:nvPicPr>
                        <pic:blipFill>
                          <a:blip r:embed="rId10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11"/>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ook w:firstRow="0" w:lastRow="0" w:firstColumn="0" w:lastColumn="0" w:noHBand="0" w:noVBand="0" w:val="0000"/>
        <w:jc w:val="start"/>
        <w:tblLayout w:type="fixed"/>
      </w:tblPr>
      <w:tblGrid>
        <w:gridCol w:w="7920"/>
      </w:tblGrid>
      <w:tr>
        <w:tc>
          <w:tcPr/>
          <w:bookmarkStart w:id="113"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jc w:val="start"/>
            </w:tblPr>
            <w:tblGrid>
              <w:gridCol w:w="3960"/>
              <w:gridCol w:w="3960"/>
            </w:tblGrid>
            <w:tr>
              <w:trPr>
                <w:tblHeader w:val="true"/>
              </w:trPr>
              <w:tc>
                <w:tcPr>
                  <w:gridSpan w:val="2"/>
                </w:tcPr>
                <w:p>
                  <w:pPr>
                    <w:pStyle w:val="Compact"/>
                    <w:jc w:val="left"/>
                    <w:jc w:val="center"/>
                  </w:pPr>
                  <w:r>
                    <w:t xml:space="preserve">Covid Sequencing Pipeline Counts</w:t>
                  </w:r>
                </w:p>
              </w:tc>
            </w:tr>
            <w:tr>
              <w:trPr>
                <w:tblHeader w:val="true"/>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13"/>
          <w:p/>
        </w:tc>
      </w:tr>
    </w:tbl>
    <w:p>
      <w:pPr>
        <w:pStyle w:val="BodyText"/>
      </w:pPr>
      <w:r>
        <w:rPr>
          <w:vertAlign w:val="subscript"/>
        </w:rPr>
        <w:t xml:space="preserve">Source:</w:t>
      </w:r>
      <w:r>
        <w:rPr>
          <w:vertAlign w:val="subscript"/>
        </w:rPr>
        <w:t xml:space="preserve"> </w:t>
      </w:r>
      <w:hyperlink r:id="rId114">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ook w:firstRow="0" w:lastRow="0" w:firstColumn="0" w:lastColumn="0" w:noHBand="0" w:noVBand="0" w:val="0000"/>
        <w:jc w:val="start"/>
        <w:tblLayout w:type="fixed"/>
      </w:tblPr>
      <w:tblGrid>
        <w:gridCol w:w="7920"/>
      </w:tblGrid>
      <w:tr>
        <w:tc>
          <w:tcPr/>
          <w:bookmarkStart w:id="115"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gridSpan w:val="3"/>
                </w:tcPr>
                <w:p>
                  <w:pPr>
                    <w:pStyle w:val="Compact"/>
                    <w:jc w:val="left"/>
                    <w:jc w:val="center"/>
                  </w:pPr>
                  <w:r>
                    <w:t xml:space="preserve">Number of Sequences by Lab</w:t>
                  </w:r>
                </w:p>
              </w:tc>
            </w:tr>
            <w:tr>
              <w:trPr>
                <w:tblHeader w:val="true"/>
              </w:trPr>
              <w:tc>
                <w:tcPr>
                  <w:gridSpan w:val="3"/>
                </w:tcPr>
                <w:p>
                  <w:pPr>
                    <w:pStyle w:val="Compact"/>
                    <w:jc w:val="left"/>
                    <w:jc w:val="center"/>
                  </w:pPr>
                  <w:r>
                    <w:t xml:space="preserve">Before 2023-06-01 switch to 2.0 pipeline</w:t>
                  </w:r>
                </w:p>
              </w:tc>
            </w:tr>
            <w:tr>
              <w:trPr>
                <w:tblHeader w:val="true"/>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5"/>
          <w:p/>
        </w:tc>
      </w:tr>
    </w:tbl>
    <w:p>
      <w:pPr>
        <w:pStyle w:val="BodyText"/>
      </w:pPr>
      <w:r>
        <w:rPr>
          <w:vertAlign w:val="subscript"/>
        </w:rPr>
        <w:t xml:space="preserve">Source:</w:t>
      </w:r>
      <w:r>
        <w:rPr>
          <w:vertAlign w:val="subscript"/>
        </w:rPr>
        <w:t xml:space="preserve"> </w:t>
      </w:r>
      <w:hyperlink r:id="rId116">
        <w:r>
          <w:rPr>
            <w:rStyle w:val="Hyperlink"/>
            <w:vertAlign w:val="subscript"/>
          </w:rPr>
          <w:t xml:space="preserve">Pipeline Counts</w:t>
        </w:r>
      </w:hyperlink>
    </w:p>
    <w:p>
      <w:pPr>
        <w:pStyle w:val="BodyText"/>
      </w:pPr>
      <w:hyperlink r:id="rId117">
        <w:r>
          <w:rPr>
            <w:rStyle w:val="Hyperlink"/>
          </w:rPr>
          <w:t xml:space="preserve">source notebook</w:t>
        </w:r>
      </w:hyperlink>
      <w:r>
        <w:t xml:space="preserve">.</w:t>
      </w:r>
    </w:p>
    <w:p>
      <w:pPr>
        <w:pStyle w:val="BodyText"/>
      </w:pPr>
    </w:p>
    <w:bookmarkStart w:id="124" w:name="refs"/>
    <w:bookmarkStart w:id="119"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8">
        <w:r>
          <w:rPr>
            <w:rStyle w:val="Hyperlink"/>
          </w:rPr>
          <w:t xml:space="preserve">https://doi.org/10.3201/eid2902.221482</w:t>
        </w:r>
      </w:hyperlink>
      <w:r>
        <w:t xml:space="preserve">.</w:t>
      </w:r>
    </w:p>
    <w:bookmarkEnd w:id="119"/>
    <w:bookmarkStart w:id="121"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Cs/>
          <w:i/>
        </w:rPr>
        <w:t xml:space="preserve">BMC Public Health</w:t>
      </w:r>
      <w:r>
        <w:t xml:space="preserve"> </w:t>
      </w:r>
      <w:r>
        <w:t xml:space="preserve">24 (January): 182.</w:t>
      </w:r>
      <w:r>
        <w:t xml:space="preserve"> </w:t>
      </w:r>
      <w:hyperlink r:id="rId120">
        <w:r>
          <w:rPr>
            <w:rStyle w:val="Hyperlink"/>
          </w:rPr>
          <w:t xml:space="preserve">https://doi.org/10.1186/s12889-023-17461-2</w:t>
        </w:r>
      </w:hyperlink>
      <w:r>
        <w:t xml:space="preserve">.</w:t>
      </w:r>
    </w:p>
    <w:bookmarkEnd w:id="121"/>
    <w:bookmarkStart w:id="123"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22">
        <w:r>
          <w:rPr>
            <w:rStyle w:val="Hyperlink"/>
          </w:rPr>
          <w:t xml:space="preserve">https://doi.org/10.1101/2023.09.21.23295927</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9" Target="media/rId59.jpg" /><Relationship Type="http://schemas.openxmlformats.org/officeDocument/2006/relationships/image" Id="rId21" Target="media/rId21.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108" Target="media/rId108.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2024-03-28T01:29:35Z</dcterms:created>
  <dcterms:modified xsi:type="dcterms:W3CDTF">2024-03-28T01:29:35Z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uthors">
    <vt:lpwstr/>
  </property>
  <property fmtid="{D5CDD505-2E9C-101B-9397-08002B2CF9AE}" pid="4" name="biblio-config">
    <vt:lpwstr>True</vt:lpwstr>
  </property>
  <property fmtid="{D5CDD505-2E9C-101B-9397-08002B2CF9AE}" pid="5" name="bibliography">
    <vt:lpwstr>cites.bib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2024-03-04</vt:lpwstr>
  </property>
  <property fmtid="{D5CDD505-2E9C-101B-9397-08002B2CF9AE}" pid="10" name="date-modified">
    <vt:lpwstr>2024-03-28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