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38DEF" w14:textId="77777777" w:rsidR="006D6679" w:rsidRDefault="00000000">
      <w:pPr>
        <w:spacing w:before="1200" w:after="200" w:line="360" w:lineRule="auto"/>
        <w:jc w:val="center"/>
      </w:pPr>
      <w:r>
        <w:t xml:space="preserve"> </w:t>
      </w:r>
    </w:p>
    <w:p w14:paraId="2D08F07A" w14:textId="77777777" w:rsidR="006D6679" w:rsidRDefault="00000000">
      <w:pPr>
        <w:spacing w:before="800" w:after="500" w:line="360" w:lineRule="auto"/>
        <w:jc w:val="center"/>
      </w:pPr>
      <w:r>
        <w:rPr>
          <w:b/>
          <w:bCs/>
          <w:sz w:val="36"/>
          <w:szCs w:val="36"/>
        </w:rPr>
        <w:t>Evaluating the Effectiveness of KIU’s Internship Support Services for Undergraduate Students</w:t>
      </w:r>
    </w:p>
    <w:p w14:paraId="4AFE4C51" w14:textId="77777777" w:rsidR="006D6679" w:rsidRDefault="00000000">
      <w:pPr>
        <w:spacing w:before="400" w:after="40" w:line="360" w:lineRule="auto"/>
        <w:jc w:val="center"/>
      </w:pPr>
      <w:r>
        <w:t>Nikoloz Modebadze</w:t>
      </w:r>
    </w:p>
    <w:p w14:paraId="18C28AA8" w14:textId="77777777" w:rsidR="006D6679" w:rsidRDefault="00000000">
      <w:pPr>
        <w:spacing w:after="40" w:line="360" w:lineRule="auto"/>
        <w:jc w:val="center"/>
      </w:pPr>
      <w:r>
        <w:t>Mariam Pkhaladze</w:t>
      </w:r>
    </w:p>
    <w:p w14:paraId="7A4E1097" w14:textId="77777777" w:rsidR="006D6679" w:rsidRDefault="00000000">
      <w:pPr>
        <w:spacing w:after="40" w:line="360" w:lineRule="auto"/>
        <w:jc w:val="center"/>
      </w:pPr>
      <w:r>
        <w:t>Tinatin Javakhadze</w:t>
      </w:r>
    </w:p>
    <w:p w14:paraId="1FDF6E96" w14:textId="77777777" w:rsidR="006D6679" w:rsidRDefault="00000000">
      <w:pPr>
        <w:spacing w:after="40" w:line="360" w:lineRule="auto"/>
        <w:jc w:val="center"/>
      </w:pPr>
      <w:r>
        <w:t xml:space="preserve">Lasha Giorgi </w:t>
      </w:r>
      <w:proofErr w:type="spellStart"/>
      <w:r>
        <w:t>Tskhadadze</w:t>
      </w:r>
      <w:proofErr w:type="spellEnd"/>
    </w:p>
    <w:p w14:paraId="59A2428A" w14:textId="77777777" w:rsidR="006D6679" w:rsidRDefault="00000000">
      <w:pPr>
        <w:spacing w:after="40" w:line="360" w:lineRule="auto"/>
        <w:jc w:val="center"/>
      </w:pPr>
      <w:r>
        <w:t xml:space="preserve">Luka </w:t>
      </w:r>
      <w:proofErr w:type="spellStart"/>
      <w:r>
        <w:t>Mekoshvili</w:t>
      </w:r>
      <w:proofErr w:type="spellEnd"/>
    </w:p>
    <w:p w14:paraId="40DF7E00" w14:textId="77777777" w:rsidR="006D6679" w:rsidRDefault="00000000">
      <w:pPr>
        <w:spacing w:after="300" w:line="360" w:lineRule="auto"/>
        <w:jc w:val="center"/>
      </w:pPr>
      <w:r>
        <w:t>Davit Tcheishvili</w:t>
      </w:r>
    </w:p>
    <w:p w14:paraId="58F1A5FB" w14:textId="77777777" w:rsidR="006D6679" w:rsidRDefault="00000000">
      <w:pPr>
        <w:spacing w:before="300" w:after="100" w:line="360" w:lineRule="auto"/>
        <w:jc w:val="center"/>
      </w:pPr>
      <w:r>
        <w:t>Course: Basic Research Methods and Tools</w:t>
      </w:r>
    </w:p>
    <w:p w14:paraId="4979822C" w14:textId="77777777" w:rsidR="006D6679" w:rsidRDefault="00000000">
      <w:pPr>
        <w:spacing w:after="100" w:line="360" w:lineRule="auto"/>
        <w:jc w:val="center"/>
      </w:pPr>
      <w:r>
        <w:t>Kutaisi International University, School of Computer Science</w:t>
      </w:r>
    </w:p>
    <w:p w14:paraId="5583B2B7" w14:textId="77777777" w:rsidR="006D6679" w:rsidRDefault="00000000">
      <w:pPr>
        <w:spacing w:after="100" w:line="360" w:lineRule="auto"/>
        <w:jc w:val="center"/>
      </w:pPr>
      <w:r>
        <w:t>Date of submission: 09/07/2026</w:t>
      </w:r>
    </w:p>
    <w:p w14:paraId="386C036D" w14:textId="77777777" w:rsidR="006D6679" w:rsidRDefault="006D6679">
      <w:pPr>
        <w:sectPr w:rsidR="006D6679">
          <w:pgSz w:w="11906" w:h="16838"/>
          <w:pgMar w:top="1417" w:right="850" w:bottom="1417" w:left="1701" w:header="708" w:footer="708" w:gutter="0"/>
          <w:cols w:space="720"/>
          <w:docGrid w:linePitch="360"/>
        </w:sectPr>
      </w:pPr>
    </w:p>
    <w:p w14:paraId="22CC4A7C" w14:textId="77777777" w:rsidR="006D6679" w:rsidRDefault="00000000">
      <w:pPr>
        <w:pStyle w:val="Heading1"/>
        <w:spacing w:before="280" w:after="160" w:line="360" w:lineRule="auto"/>
      </w:pPr>
      <w:bookmarkStart w:id="0" w:name="_Toc234495263"/>
      <w:r>
        <w:rPr>
          <w:b/>
          <w:bCs/>
          <w:color w:val="000000"/>
          <w:sz w:val="28"/>
          <w:szCs w:val="28"/>
        </w:rPr>
        <w:lastRenderedPageBreak/>
        <w:t>Abstract</w:t>
      </w:r>
      <w:bookmarkEnd w:id="0"/>
    </w:p>
    <w:p w14:paraId="12524161" w14:textId="77777777" w:rsidR="006D6679" w:rsidRDefault="00000000">
      <w:pPr>
        <w:spacing w:after="120" w:line="360" w:lineRule="auto"/>
        <w:jc w:val="both"/>
      </w:pPr>
      <w:r>
        <w:t xml:space="preserve">This study examined how undergraduate students at Kutaisi International University (KIU) perceive the effectiveness of the university’s internship support services in helping them find, prepare for, and apply to internships. Prior research shows that university career support is often underused and that its perceived usefulness, rather than its mere availability, determines its value; no such evidence existed for KIU. A cross-sectional online survey was distributed to 2nd–4th year students in the Computer Science, Management, and Mathematics schools, and 122 valid responses were </w:t>
      </w:r>
      <w:proofErr w:type="spellStart"/>
      <w:r>
        <w:t>analysed</w:t>
      </w:r>
      <w:proofErr w:type="spellEnd"/>
      <w:r>
        <w:t xml:space="preserve"> using descriptive statistics and a Welch independent-samples t-test. Awareness of the services was low to moderate (M = 2.92 on a 5-point scale) and only 31.1% of respondents had used them, most commonly citing not knowing the services existed. Students who had used support services reported significantly higher perceived internship readiness than non-users, </w:t>
      </w:r>
      <w:proofErr w:type="gramStart"/>
      <w:r>
        <w:t>t(</w:t>
      </w:r>
      <w:proofErr w:type="gramEnd"/>
      <w:r>
        <w:t>88.1) = 3.36, p = .001, d = 0.60, so the null hypothesis was rejected. Among users, satisfaction was modest overall, with CV and interview preparation support rated lowest. The results suggest that KIU’s internship support is potentially valuable but under-promoted, and the study recommends earlier and more visible communication, a central internship information platform, and stronger field-specific opportunities.</w:t>
      </w:r>
    </w:p>
    <w:p w14:paraId="78A2E0E7" w14:textId="77777777" w:rsidR="006D6679" w:rsidRDefault="00000000">
      <w:r>
        <w:br w:type="page"/>
      </w:r>
    </w:p>
    <w:p w14:paraId="1B9B06BD" w14:textId="77777777" w:rsidR="006D6679" w:rsidRDefault="00000000">
      <w:pPr>
        <w:pStyle w:val="Heading1"/>
        <w:spacing w:before="280" w:after="160" w:line="360" w:lineRule="auto"/>
      </w:pPr>
      <w:bookmarkStart w:id="1" w:name="_Toc234495264"/>
      <w:r>
        <w:rPr>
          <w:b/>
          <w:bCs/>
          <w:color w:val="000000"/>
          <w:sz w:val="28"/>
          <w:szCs w:val="28"/>
        </w:rPr>
        <w:lastRenderedPageBreak/>
        <w:t>Table of Contents</w:t>
      </w:r>
      <w:bookmarkEnd w:id="1"/>
    </w:p>
    <w:sdt>
      <w:sdtPr>
        <w:alias w:val="Table of Contents"/>
        <w:id w:val="1129060092"/>
      </w:sdtPr>
      <w:sdtContent>
        <w:p w14:paraId="0EE36662" w14:textId="5748FF59" w:rsidR="0095101A" w:rsidRDefault="00000000">
          <w:pPr>
            <w:pStyle w:val="TOC1"/>
            <w:tabs>
              <w:tab w:val="right" w:leader="dot" w:pos="9345"/>
            </w:tabs>
            <w:rPr>
              <w:noProof/>
            </w:rPr>
          </w:pPr>
          <w:r>
            <w:fldChar w:fldCharType="begin"/>
          </w:r>
          <w:r>
            <w:instrText>TOC \h \o "1-2"</w:instrText>
          </w:r>
          <w:r>
            <w:fldChar w:fldCharType="separate"/>
          </w:r>
          <w:hyperlink w:anchor="_Toc234495263" w:history="1">
            <w:r w:rsidR="0095101A" w:rsidRPr="009B1E19">
              <w:rPr>
                <w:rStyle w:val="Hyperlink"/>
                <w:b/>
                <w:bCs/>
                <w:noProof/>
              </w:rPr>
              <w:t>Abstract</w:t>
            </w:r>
            <w:r w:rsidR="0095101A">
              <w:rPr>
                <w:noProof/>
              </w:rPr>
              <w:tab/>
            </w:r>
            <w:r w:rsidR="0095101A">
              <w:rPr>
                <w:noProof/>
              </w:rPr>
              <w:fldChar w:fldCharType="begin"/>
            </w:r>
            <w:r w:rsidR="0095101A">
              <w:rPr>
                <w:noProof/>
              </w:rPr>
              <w:instrText xml:space="preserve"> PAGEREF _Toc234495263 \h </w:instrText>
            </w:r>
            <w:r w:rsidR="0095101A">
              <w:rPr>
                <w:noProof/>
              </w:rPr>
            </w:r>
            <w:r w:rsidR="0095101A">
              <w:rPr>
                <w:noProof/>
              </w:rPr>
              <w:fldChar w:fldCharType="separate"/>
            </w:r>
            <w:r w:rsidR="0095101A">
              <w:rPr>
                <w:noProof/>
              </w:rPr>
              <w:t>i</w:t>
            </w:r>
            <w:r w:rsidR="0095101A">
              <w:rPr>
                <w:noProof/>
              </w:rPr>
              <w:fldChar w:fldCharType="end"/>
            </w:r>
          </w:hyperlink>
        </w:p>
        <w:p w14:paraId="44DB6BE8" w14:textId="0877608D" w:rsidR="0095101A" w:rsidRDefault="0095101A">
          <w:pPr>
            <w:pStyle w:val="TOC1"/>
            <w:tabs>
              <w:tab w:val="right" w:leader="dot" w:pos="9345"/>
            </w:tabs>
            <w:rPr>
              <w:noProof/>
            </w:rPr>
          </w:pPr>
          <w:hyperlink w:anchor="_Toc234495264" w:history="1">
            <w:r w:rsidRPr="009B1E19">
              <w:rPr>
                <w:rStyle w:val="Hyperlink"/>
                <w:b/>
                <w:bCs/>
                <w:noProof/>
              </w:rPr>
              <w:t>Table of Contents</w:t>
            </w:r>
            <w:r>
              <w:rPr>
                <w:noProof/>
              </w:rPr>
              <w:tab/>
            </w:r>
            <w:r>
              <w:rPr>
                <w:noProof/>
              </w:rPr>
              <w:fldChar w:fldCharType="begin"/>
            </w:r>
            <w:r>
              <w:rPr>
                <w:noProof/>
              </w:rPr>
              <w:instrText xml:space="preserve"> PAGEREF _Toc234495264 \h </w:instrText>
            </w:r>
            <w:r>
              <w:rPr>
                <w:noProof/>
              </w:rPr>
            </w:r>
            <w:r>
              <w:rPr>
                <w:noProof/>
              </w:rPr>
              <w:fldChar w:fldCharType="separate"/>
            </w:r>
            <w:r>
              <w:rPr>
                <w:noProof/>
              </w:rPr>
              <w:t>ii</w:t>
            </w:r>
            <w:r>
              <w:rPr>
                <w:noProof/>
              </w:rPr>
              <w:fldChar w:fldCharType="end"/>
            </w:r>
          </w:hyperlink>
        </w:p>
        <w:p w14:paraId="30C786DD" w14:textId="63AC46E3" w:rsidR="0095101A" w:rsidRDefault="0095101A">
          <w:pPr>
            <w:pStyle w:val="TOC1"/>
            <w:tabs>
              <w:tab w:val="right" w:leader="dot" w:pos="9345"/>
            </w:tabs>
            <w:rPr>
              <w:noProof/>
            </w:rPr>
          </w:pPr>
          <w:hyperlink w:anchor="_Toc234495265" w:history="1">
            <w:r w:rsidRPr="009B1E19">
              <w:rPr>
                <w:rStyle w:val="Hyperlink"/>
                <w:b/>
                <w:bCs/>
                <w:noProof/>
              </w:rPr>
              <w:t>List of Tables</w:t>
            </w:r>
            <w:r>
              <w:rPr>
                <w:noProof/>
              </w:rPr>
              <w:tab/>
            </w:r>
            <w:r>
              <w:rPr>
                <w:noProof/>
              </w:rPr>
              <w:fldChar w:fldCharType="begin"/>
            </w:r>
            <w:r>
              <w:rPr>
                <w:noProof/>
              </w:rPr>
              <w:instrText xml:space="preserve"> PAGEREF _Toc234495265 \h </w:instrText>
            </w:r>
            <w:r>
              <w:rPr>
                <w:noProof/>
              </w:rPr>
            </w:r>
            <w:r>
              <w:rPr>
                <w:noProof/>
              </w:rPr>
              <w:fldChar w:fldCharType="separate"/>
            </w:r>
            <w:r>
              <w:rPr>
                <w:noProof/>
              </w:rPr>
              <w:t>iv</w:t>
            </w:r>
            <w:r>
              <w:rPr>
                <w:noProof/>
              </w:rPr>
              <w:fldChar w:fldCharType="end"/>
            </w:r>
          </w:hyperlink>
        </w:p>
        <w:p w14:paraId="718D8F1E" w14:textId="1ECCFDF0" w:rsidR="0095101A" w:rsidRDefault="0095101A">
          <w:pPr>
            <w:pStyle w:val="TOC1"/>
            <w:tabs>
              <w:tab w:val="right" w:leader="dot" w:pos="9345"/>
            </w:tabs>
            <w:rPr>
              <w:noProof/>
            </w:rPr>
          </w:pPr>
          <w:hyperlink w:anchor="_Toc234495266" w:history="1">
            <w:r w:rsidRPr="009B1E19">
              <w:rPr>
                <w:rStyle w:val="Hyperlink"/>
                <w:b/>
                <w:bCs/>
                <w:noProof/>
              </w:rPr>
              <w:t>List of Figures</w:t>
            </w:r>
            <w:r>
              <w:rPr>
                <w:noProof/>
              </w:rPr>
              <w:tab/>
            </w:r>
            <w:r>
              <w:rPr>
                <w:noProof/>
              </w:rPr>
              <w:fldChar w:fldCharType="begin"/>
            </w:r>
            <w:r>
              <w:rPr>
                <w:noProof/>
              </w:rPr>
              <w:instrText xml:space="preserve"> PAGEREF _Toc234495266 \h </w:instrText>
            </w:r>
            <w:r>
              <w:rPr>
                <w:noProof/>
              </w:rPr>
            </w:r>
            <w:r>
              <w:rPr>
                <w:noProof/>
              </w:rPr>
              <w:fldChar w:fldCharType="separate"/>
            </w:r>
            <w:r>
              <w:rPr>
                <w:noProof/>
              </w:rPr>
              <w:t>iv</w:t>
            </w:r>
            <w:r>
              <w:rPr>
                <w:noProof/>
              </w:rPr>
              <w:fldChar w:fldCharType="end"/>
            </w:r>
          </w:hyperlink>
        </w:p>
        <w:p w14:paraId="5EB87300" w14:textId="7FCB5B68" w:rsidR="0095101A" w:rsidRDefault="0095101A">
          <w:pPr>
            <w:pStyle w:val="TOC1"/>
            <w:tabs>
              <w:tab w:val="right" w:leader="dot" w:pos="9345"/>
            </w:tabs>
            <w:rPr>
              <w:noProof/>
            </w:rPr>
          </w:pPr>
          <w:hyperlink w:anchor="_Toc234495267" w:history="1">
            <w:r w:rsidRPr="009B1E19">
              <w:rPr>
                <w:rStyle w:val="Hyperlink"/>
                <w:b/>
                <w:bCs/>
                <w:noProof/>
              </w:rPr>
              <w:t>1. Introduction</w:t>
            </w:r>
            <w:r>
              <w:rPr>
                <w:noProof/>
              </w:rPr>
              <w:tab/>
            </w:r>
            <w:r>
              <w:rPr>
                <w:noProof/>
              </w:rPr>
              <w:fldChar w:fldCharType="begin"/>
            </w:r>
            <w:r>
              <w:rPr>
                <w:noProof/>
              </w:rPr>
              <w:instrText xml:space="preserve"> PAGEREF _Toc234495267 \h </w:instrText>
            </w:r>
            <w:r>
              <w:rPr>
                <w:noProof/>
              </w:rPr>
            </w:r>
            <w:r>
              <w:rPr>
                <w:noProof/>
              </w:rPr>
              <w:fldChar w:fldCharType="separate"/>
            </w:r>
            <w:r>
              <w:rPr>
                <w:noProof/>
              </w:rPr>
              <w:t>1</w:t>
            </w:r>
            <w:r>
              <w:rPr>
                <w:noProof/>
              </w:rPr>
              <w:fldChar w:fldCharType="end"/>
            </w:r>
          </w:hyperlink>
        </w:p>
        <w:p w14:paraId="65209FA3" w14:textId="0FC8B217" w:rsidR="0095101A" w:rsidRDefault="0095101A">
          <w:pPr>
            <w:pStyle w:val="TOC1"/>
            <w:tabs>
              <w:tab w:val="right" w:leader="dot" w:pos="9345"/>
            </w:tabs>
            <w:rPr>
              <w:noProof/>
            </w:rPr>
          </w:pPr>
          <w:hyperlink w:anchor="_Toc234495268" w:history="1">
            <w:r w:rsidRPr="009B1E19">
              <w:rPr>
                <w:rStyle w:val="Hyperlink"/>
                <w:b/>
                <w:bCs/>
                <w:noProof/>
              </w:rPr>
              <w:t>2. Literature Review</w:t>
            </w:r>
            <w:r>
              <w:rPr>
                <w:noProof/>
              </w:rPr>
              <w:tab/>
            </w:r>
            <w:r>
              <w:rPr>
                <w:noProof/>
              </w:rPr>
              <w:fldChar w:fldCharType="begin"/>
            </w:r>
            <w:r>
              <w:rPr>
                <w:noProof/>
              </w:rPr>
              <w:instrText xml:space="preserve"> PAGEREF _Toc234495268 \h </w:instrText>
            </w:r>
            <w:r>
              <w:rPr>
                <w:noProof/>
              </w:rPr>
            </w:r>
            <w:r>
              <w:rPr>
                <w:noProof/>
              </w:rPr>
              <w:fldChar w:fldCharType="separate"/>
            </w:r>
            <w:r>
              <w:rPr>
                <w:noProof/>
              </w:rPr>
              <w:t>2</w:t>
            </w:r>
            <w:r>
              <w:rPr>
                <w:noProof/>
              </w:rPr>
              <w:fldChar w:fldCharType="end"/>
            </w:r>
          </w:hyperlink>
        </w:p>
        <w:p w14:paraId="2F992BD9" w14:textId="364070A0" w:rsidR="0095101A" w:rsidRDefault="0095101A">
          <w:pPr>
            <w:pStyle w:val="TOC2"/>
            <w:tabs>
              <w:tab w:val="right" w:leader="dot" w:pos="9345"/>
            </w:tabs>
            <w:rPr>
              <w:noProof/>
            </w:rPr>
          </w:pPr>
          <w:hyperlink w:anchor="_Toc234495269" w:history="1">
            <w:r w:rsidRPr="009B1E19">
              <w:rPr>
                <w:rStyle w:val="Hyperlink"/>
                <w:b/>
                <w:bCs/>
                <w:noProof/>
              </w:rPr>
              <w:t>2.1 Conceptual frameworks of graduate employability</w:t>
            </w:r>
            <w:r>
              <w:rPr>
                <w:noProof/>
              </w:rPr>
              <w:tab/>
            </w:r>
            <w:r>
              <w:rPr>
                <w:noProof/>
              </w:rPr>
              <w:fldChar w:fldCharType="begin"/>
            </w:r>
            <w:r>
              <w:rPr>
                <w:noProof/>
              </w:rPr>
              <w:instrText xml:space="preserve"> PAGEREF _Toc234495269 \h </w:instrText>
            </w:r>
            <w:r>
              <w:rPr>
                <w:noProof/>
              </w:rPr>
            </w:r>
            <w:r>
              <w:rPr>
                <w:noProof/>
              </w:rPr>
              <w:fldChar w:fldCharType="separate"/>
            </w:r>
            <w:r>
              <w:rPr>
                <w:noProof/>
              </w:rPr>
              <w:t>2</w:t>
            </w:r>
            <w:r>
              <w:rPr>
                <w:noProof/>
              </w:rPr>
              <w:fldChar w:fldCharType="end"/>
            </w:r>
          </w:hyperlink>
        </w:p>
        <w:p w14:paraId="2233F26F" w14:textId="2982D409" w:rsidR="0095101A" w:rsidRDefault="0095101A">
          <w:pPr>
            <w:pStyle w:val="TOC2"/>
            <w:tabs>
              <w:tab w:val="right" w:leader="dot" w:pos="9345"/>
            </w:tabs>
            <w:rPr>
              <w:noProof/>
            </w:rPr>
          </w:pPr>
          <w:hyperlink w:anchor="_Toc234495270" w:history="1">
            <w:r w:rsidRPr="009B1E19">
              <w:rPr>
                <w:rStyle w:val="Hyperlink"/>
                <w:b/>
                <w:bCs/>
                <w:noProof/>
              </w:rPr>
              <w:t>2.2 The value of internships and work-integrated learning</w:t>
            </w:r>
            <w:r>
              <w:rPr>
                <w:noProof/>
              </w:rPr>
              <w:tab/>
            </w:r>
            <w:r>
              <w:rPr>
                <w:noProof/>
              </w:rPr>
              <w:fldChar w:fldCharType="begin"/>
            </w:r>
            <w:r>
              <w:rPr>
                <w:noProof/>
              </w:rPr>
              <w:instrText xml:space="preserve"> PAGEREF _Toc234495270 \h </w:instrText>
            </w:r>
            <w:r>
              <w:rPr>
                <w:noProof/>
              </w:rPr>
            </w:r>
            <w:r>
              <w:rPr>
                <w:noProof/>
              </w:rPr>
              <w:fldChar w:fldCharType="separate"/>
            </w:r>
            <w:r>
              <w:rPr>
                <w:noProof/>
              </w:rPr>
              <w:t>3</w:t>
            </w:r>
            <w:r>
              <w:rPr>
                <w:noProof/>
              </w:rPr>
              <w:fldChar w:fldCharType="end"/>
            </w:r>
          </w:hyperlink>
        </w:p>
        <w:p w14:paraId="3DE8548E" w14:textId="61284B76" w:rsidR="0095101A" w:rsidRDefault="0095101A">
          <w:pPr>
            <w:pStyle w:val="TOC2"/>
            <w:tabs>
              <w:tab w:val="right" w:leader="dot" w:pos="9345"/>
            </w:tabs>
            <w:rPr>
              <w:noProof/>
            </w:rPr>
          </w:pPr>
          <w:hyperlink w:anchor="_Toc234495271" w:history="1">
            <w:r w:rsidRPr="009B1E19">
              <w:rPr>
                <w:rStyle w:val="Hyperlink"/>
                <w:b/>
                <w:bCs/>
                <w:noProof/>
              </w:rPr>
              <w:t>2.3 Unequal access: the “thwarted intern”</w:t>
            </w:r>
            <w:r>
              <w:rPr>
                <w:noProof/>
              </w:rPr>
              <w:tab/>
            </w:r>
            <w:r>
              <w:rPr>
                <w:noProof/>
              </w:rPr>
              <w:fldChar w:fldCharType="begin"/>
            </w:r>
            <w:r>
              <w:rPr>
                <w:noProof/>
              </w:rPr>
              <w:instrText xml:space="preserve"> PAGEREF _Toc234495271 \h </w:instrText>
            </w:r>
            <w:r>
              <w:rPr>
                <w:noProof/>
              </w:rPr>
            </w:r>
            <w:r>
              <w:rPr>
                <w:noProof/>
              </w:rPr>
              <w:fldChar w:fldCharType="separate"/>
            </w:r>
            <w:r>
              <w:rPr>
                <w:noProof/>
              </w:rPr>
              <w:t>4</w:t>
            </w:r>
            <w:r>
              <w:rPr>
                <w:noProof/>
              </w:rPr>
              <w:fldChar w:fldCharType="end"/>
            </w:r>
          </w:hyperlink>
        </w:p>
        <w:p w14:paraId="1500A953" w14:textId="7AB91930" w:rsidR="0095101A" w:rsidRDefault="0095101A">
          <w:pPr>
            <w:pStyle w:val="TOC2"/>
            <w:tabs>
              <w:tab w:val="right" w:leader="dot" w:pos="9345"/>
            </w:tabs>
            <w:rPr>
              <w:noProof/>
            </w:rPr>
          </w:pPr>
          <w:hyperlink w:anchor="_Toc234495272" w:history="1">
            <w:r w:rsidRPr="009B1E19">
              <w:rPr>
                <w:rStyle w:val="Hyperlink"/>
                <w:b/>
                <w:bCs/>
                <w:noProof/>
              </w:rPr>
              <w:t>2.4 Evaluating university career services</w:t>
            </w:r>
            <w:r>
              <w:rPr>
                <w:noProof/>
              </w:rPr>
              <w:tab/>
            </w:r>
            <w:r>
              <w:rPr>
                <w:noProof/>
              </w:rPr>
              <w:fldChar w:fldCharType="begin"/>
            </w:r>
            <w:r>
              <w:rPr>
                <w:noProof/>
              </w:rPr>
              <w:instrText xml:space="preserve"> PAGEREF _Toc234495272 \h </w:instrText>
            </w:r>
            <w:r>
              <w:rPr>
                <w:noProof/>
              </w:rPr>
            </w:r>
            <w:r>
              <w:rPr>
                <w:noProof/>
              </w:rPr>
              <w:fldChar w:fldCharType="separate"/>
            </w:r>
            <w:r>
              <w:rPr>
                <w:noProof/>
              </w:rPr>
              <w:t>4</w:t>
            </w:r>
            <w:r>
              <w:rPr>
                <w:noProof/>
              </w:rPr>
              <w:fldChar w:fldCharType="end"/>
            </w:r>
          </w:hyperlink>
        </w:p>
        <w:p w14:paraId="556C918B" w14:textId="1C485F5B" w:rsidR="0095101A" w:rsidRDefault="0095101A">
          <w:pPr>
            <w:pStyle w:val="TOC2"/>
            <w:tabs>
              <w:tab w:val="right" w:leader="dot" w:pos="9345"/>
            </w:tabs>
            <w:rPr>
              <w:noProof/>
            </w:rPr>
          </w:pPr>
          <w:hyperlink w:anchor="_Toc234495273" w:history="1">
            <w:r w:rsidRPr="009B1E19">
              <w:rPr>
                <w:rStyle w:val="Hyperlink"/>
                <w:b/>
                <w:bCs/>
                <w:noProof/>
              </w:rPr>
              <w:t>2.5 Research gap</w:t>
            </w:r>
            <w:r>
              <w:rPr>
                <w:noProof/>
              </w:rPr>
              <w:tab/>
            </w:r>
            <w:r>
              <w:rPr>
                <w:noProof/>
              </w:rPr>
              <w:fldChar w:fldCharType="begin"/>
            </w:r>
            <w:r>
              <w:rPr>
                <w:noProof/>
              </w:rPr>
              <w:instrText xml:space="preserve"> PAGEREF _Toc234495273 \h </w:instrText>
            </w:r>
            <w:r>
              <w:rPr>
                <w:noProof/>
              </w:rPr>
            </w:r>
            <w:r>
              <w:rPr>
                <w:noProof/>
              </w:rPr>
              <w:fldChar w:fldCharType="separate"/>
            </w:r>
            <w:r>
              <w:rPr>
                <w:noProof/>
              </w:rPr>
              <w:t>5</w:t>
            </w:r>
            <w:r>
              <w:rPr>
                <w:noProof/>
              </w:rPr>
              <w:fldChar w:fldCharType="end"/>
            </w:r>
          </w:hyperlink>
        </w:p>
        <w:p w14:paraId="41186AC5" w14:textId="64742003" w:rsidR="0095101A" w:rsidRDefault="0095101A">
          <w:pPr>
            <w:pStyle w:val="TOC1"/>
            <w:tabs>
              <w:tab w:val="right" w:leader="dot" w:pos="9345"/>
            </w:tabs>
            <w:rPr>
              <w:noProof/>
            </w:rPr>
          </w:pPr>
          <w:hyperlink w:anchor="_Toc234495274" w:history="1">
            <w:r w:rsidRPr="009B1E19">
              <w:rPr>
                <w:rStyle w:val="Hyperlink"/>
                <w:b/>
                <w:bCs/>
                <w:noProof/>
              </w:rPr>
              <w:t>3. Methodology</w:t>
            </w:r>
            <w:r>
              <w:rPr>
                <w:noProof/>
              </w:rPr>
              <w:tab/>
            </w:r>
            <w:r>
              <w:rPr>
                <w:noProof/>
              </w:rPr>
              <w:fldChar w:fldCharType="begin"/>
            </w:r>
            <w:r>
              <w:rPr>
                <w:noProof/>
              </w:rPr>
              <w:instrText xml:space="preserve"> PAGEREF _Toc234495274 \h </w:instrText>
            </w:r>
            <w:r>
              <w:rPr>
                <w:noProof/>
              </w:rPr>
            </w:r>
            <w:r>
              <w:rPr>
                <w:noProof/>
              </w:rPr>
              <w:fldChar w:fldCharType="separate"/>
            </w:r>
            <w:r>
              <w:rPr>
                <w:noProof/>
              </w:rPr>
              <w:t>5</w:t>
            </w:r>
            <w:r>
              <w:rPr>
                <w:noProof/>
              </w:rPr>
              <w:fldChar w:fldCharType="end"/>
            </w:r>
          </w:hyperlink>
        </w:p>
        <w:p w14:paraId="60C4E945" w14:textId="6589FC11" w:rsidR="0095101A" w:rsidRDefault="0095101A">
          <w:pPr>
            <w:pStyle w:val="TOC2"/>
            <w:tabs>
              <w:tab w:val="right" w:leader="dot" w:pos="9345"/>
            </w:tabs>
            <w:rPr>
              <w:noProof/>
            </w:rPr>
          </w:pPr>
          <w:hyperlink w:anchor="_Toc234495275" w:history="1">
            <w:r w:rsidRPr="009B1E19">
              <w:rPr>
                <w:rStyle w:val="Hyperlink"/>
                <w:b/>
                <w:bCs/>
                <w:noProof/>
              </w:rPr>
              <w:t>3.1 Research design</w:t>
            </w:r>
            <w:r>
              <w:rPr>
                <w:noProof/>
              </w:rPr>
              <w:tab/>
            </w:r>
            <w:r>
              <w:rPr>
                <w:noProof/>
              </w:rPr>
              <w:fldChar w:fldCharType="begin"/>
            </w:r>
            <w:r>
              <w:rPr>
                <w:noProof/>
              </w:rPr>
              <w:instrText xml:space="preserve"> PAGEREF _Toc234495275 \h </w:instrText>
            </w:r>
            <w:r>
              <w:rPr>
                <w:noProof/>
              </w:rPr>
            </w:r>
            <w:r>
              <w:rPr>
                <w:noProof/>
              </w:rPr>
              <w:fldChar w:fldCharType="separate"/>
            </w:r>
            <w:r>
              <w:rPr>
                <w:noProof/>
              </w:rPr>
              <w:t>5</w:t>
            </w:r>
            <w:r>
              <w:rPr>
                <w:noProof/>
              </w:rPr>
              <w:fldChar w:fldCharType="end"/>
            </w:r>
          </w:hyperlink>
        </w:p>
        <w:p w14:paraId="7D35F6DF" w14:textId="5911C83F" w:rsidR="0095101A" w:rsidRDefault="0095101A">
          <w:pPr>
            <w:pStyle w:val="TOC2"/>
            <w:tabs>
              <w:tab w:val="right" w:leader="dot" w:pos="9345"/>
            </w:tabs>
            <w:rPr>
              <w:noProof/>
            </w:rPr>
          </w:pPr>
          <w:hyperlink w:anchor="_Toc234495276" w:history="1">
            <w:r w:rsidRPr="009B1E19">
              <w:rPr>
                <w:rStyle w:val="Hyperlink"/>
                <w:b/>
                <w:bCs/>
                <w:noProof/>
              </w:rPr>
              <w:t>3.2 Participants and sampling</w:t>
            </w:r>
            <w:r>
              <w:rPr>
                <w:noProof/>
              </w:rPr>
              <w:tab/>
            </w:r>
            <w:r>
              <w:rPr>
                <w:noProof/>
              </w:rPr>
              <w:fldChar w:fldCharType="begin"/>
            </w:r>
            <w:r>
              <w:rPr>
                <w:noProof/>
              </w:rPr>
              <w:instrText xml:space="preserve"> PAGEREF _Toc234495276 \h </w:instrText>
            </w:r>
            <w:r>
              <w:rPr>
                <w:noProof/>
              </w:rPr>
            </w:r>
            <w:r>
              <w:rPr>
                <w:noProof/>
              </w:rPr>
              <w:fldChar w:fldCharType="separate"/>
            </w:r>
            <w:r>
              <w:rPr>
                <w:noProof/>
              </w:rPr>
              <w:t>5</w:t>
            </w:r>
            <w:r>
              <w:rPr>
                <w:noProof/>
              </w:rPr>
              <w:fldChar w:fldCharType="end"/>
            </w:r>
          </w:hyperlink>
        </w:p>
        <w:p w14:paraId="1A4CBE0D" w14:textId="0CF7ABEA" w:rsidR="0095101A" w:rsidRDefault="0095101A">
          <w:pPr>
            <w:pStyle w:val="TOC2"/>
            <w:tabs>
              <w:tab w:val="right" w:leader="dot" w:pos="9345"/>
            </w:tabs>
            <w:rPr>
              <w:noProof/>
            </w:rPr>
          </w:pPr>
          <w:hyperlink w:anchor="_Toc234495277" w:history="1">
            <w:r w:rsidRPr="009B1E19">
              <w:rPr>
                <w:rStyle w:val="Hyperlink"/>
                <w:b/>
                <w:bCs/>
                <w:noProof/>
              </w:rPr>
              <w:t>3.3 Data collection instrument</w:t>
            </w:r>
            <w:r>
              <w:rPr>
                <w:noProof/>
              </w:rPr>
              <w:tab/>
            </w:r>
            <w:r>
              <w:rPr>
                <w:noProof/>
              </w:rPr>
              <w:fldChar w:fldCharType="begin"/>
            </w:r>
            <w:r>
              <w:rPr>
                <w:noProof/>
              </w:rPr>
              <w:instrText xml:space="preserve"> PAGEREF _Toc234495277 \h </w:instrText>
            </w:r>
            <w:r>
              <w:rPr>
                <w:noProof/>
              </w:rPr>
            </w:r>
            <w:r>
              <w:rPr>
                <w:noProof/>
              </w:rPr>
              <w:fldChar w:fldCharType="separate"/>
            </w:r>
            <w:r>
              <w:rPr>
                <w:noProof/>
              </w:rPr>
              <w:t>6</w:t>
            </w:r>
            <w:r>
              <w:rPr>
                <w:noProof/>
              </w:rPr>
              <w:fldChar w:fldCharType="end"/>
            </w:r>
          </w:hyperlink>
        </w:p>
        <w:p w14:paraId="0D23C813" w14:textId="2D62F372" w:rsidR="0095101A" w:rsidRDefault="0095101A">
          <w:pPr>
            <w:pStyle w:val="TOC2"/>
            <w:tabs>
              <w:tab w:val="right" w:leader="dot" w:pos="9345"/>
            </w:tabs>
            <w:rPr>
              <w:noProof/>
            </w:rPr>
          </w:pPr>
          <w:hyperlink w:anchor="_Toc234495278" w:history="1">
            <w:r w:rsidRPr="009B1E19">
              <w:rPr>
                <w:rStyle w:val="Hyperlink"/>
                <w:b/>
                <w:bCs/>
                <w:noProof/>
              </w:rPr>
              <w:t>3.4 Variables</w:t>
            </w:r>
            <w:r>
              <w:rPr>
                <w:noProof/>
              </w:rPr>
              <w:tab/>
            </w:r>
            <w:r>
              <w:rPr>
                <w:noProof/>
              </w:rPr>
              <w:fldChar w:fldCharType="begin"/>
            </w:r>
            <w:r>
              <w:rPr>
                <w:noProof/>
              </w:rPr>
              <w:instrText xml:space="preserve"> PAGEREF _Toc234495278 \h </w:instrText>
            </w:r>
            <w:r>
              <w:rPr>
                <w:noProof/>
              </w:rPr>
            </w:r>
            <w:r>
              <w:rPr>
                <w:noProof/>
              </w:rPr>
              <w:fldChar w:fldCharType="separate"/>
            </w:r>
            <w:r>
              <w:rPr>
                <w:noProof/>
              </w:rPr>
              <w:t>7</w:t>
            </w:r>
            <w:r>
              <w:rPr>
                <w:noProof/>
              </w:rPr>
              <w:fldChar w:fldCharType="end"/>
            </w:r>
          </w:hyperlink>
        </w:p>
        <w:p w14:paraId="30BF4217" w14:textId="63BBEAF5" w:rsidR="0095101A" w:rsidRDefault="0095101A">
          <w:pPr>
            <w:pStyle w:val="TOC2"/>
            <w:tabs>
              <w:tab w:val="right" w:leader="dot" w:pos="9345"/>
            </w:tabs>
            <w:rPr>
              <w:noProof/>
            </w:rPr>
          </w:pPr>
          <w:hyperlink w:anchor="_Toc234495279" w:history="1">
            <w:r w:rsidRPr="009B1E19">
              <w:rPr>
                <w:rStyle w:val="Hyperlink"/>
                <w:b/>
                <w:bCs/>
                <w:noProof/>
              </w:rPr>
              <w:t>3.5 Procedure</w:t>
            </w:r>
            <w:r>
              <w:rPr>
                <w:noProof/>
              </w:rPr>
              <w:tab/>
            </w:r>
            <w:r>
              <w:rPr>
                <w:noProof/>
              </w:rPr>
              <w:fldChar w:fldCharType="begin"/>
            </w:r>
            <w:r>
              <w:rPr>
                <w:noProof/>
              </w:rPr>
              <w:instrText xml:space="preserve"> PAGEREF _Toc234495279 \h </w:instrText>
            </w:r>
            <w:r>
              <w:rPr>
                <w:noProof/>
              </w:rPr>
            </w:r>
            <w:r>
              <w:rPr>
                <w:noProof/>
              </w:rPr>
              <w:fldChar w:fldCharType="separate"/>
            </w:r>
            <w:r>
              <w:rPr>
                <w:noProof/>
              </w:rPr>
              <w:t>7</w:t>
            </w:r>
            <w:r>
              <w:rPr>
                <w:noProof/>
              </w:rPr>
              <w:fldChar w:fldCharType="end"/>
            </w:r>
          </w:hyperlink>
        </w:p>
        <w:p w14:paraId="3457473F" w14:textId="782BB684" w:rsidR="0095101A" w:rsidRDefault="0095101A">
          <w:pPr>
            <w:pStyle w:val="TOC2"/>
            <w:tabs>
              <w:tab w:val="right" w:leader="dot" w:pos="9345"/>
            </w:tabs>
            <w:rPr>
              <w:noProof/>
            </w:rPr>
          </w:pPr>
          <w:hyperlink w:anchor="_Toc234495280" w:history="1">
            <w:r w:rsidRPr="009B1E19">
              <w:rPr>
                <w:rStyle w:val="Hyperlink"/>
                <w:b/>
                <w:bCs/>
                <w:noProof/>
              </w:rPr>
              <w:t>3.6 Data analysis plan</w:t>
            </w:r>
            <w:r>
              <w:rPr>
                <w:noProof/>
              </w:rPr>
              <w:tab/>
            </w:r>
            <w:r>
              <w:rPr>
                <w:noProof/>
              </w:rPr>
              <w:fldChar w:fldCharType="begin"/>
            </w:r>
            <w:r>
              <w:rPr>
                <w:noProof/>
              </w:rPr>
              <w:instrText xml:space="preserve"> PAGEREF _Toc234495280 \h </w:instrText>
            </w:r>
            <w:r>
              <w:rPr>
                <w:noProof/>
              </w:rPr>
            </w:r>
            <w:r>
              <w:rPr>
                <w:noProof/>
              </w:rPr>
              <w:fldChar w:fldCharType="separate"/>
            </w:r>
            <w:r>
              <w:rPr>
                <w:noProof/>
              </w:rPr>
              <w:t>7</w:t>
            </w:r>
            <w:r>
              <w:rPr>
                <w:noProof/>
              </w:rPr>
              <w:fldChar w:fldCharType="end"/>
            </w:r>
          </w:hyperlink>
        </w:p>
        <w:p w14:paraId="1354FC07" w14:textId="3D3E9F92" w:rsidR="0095101A" w:rsidRDefault="0095101A">
          <w:pPr>
            <w:pStyle w:val="TOC2"/>
            <w:tabs>
              <w:tab w:val="right" w:leader="dot" w:pos="9345"/>
            </w:tabs>
            <w:rPr>
              <w:noProof/>
            </w:rPr>
          </w:pPr>
          <w:hyperlink w:anchor="_Toc234495281" w:history="1">
            <w:r w:rsidRPr="009B1E19">
              <w:rPr>
                <w:rStyle w:val="Hyperlink"/>
                <w:b/>
                <w:bCs/>
                <w:noProof/>
              </w:rPr>
              <w:t>3.7 Ethical considerations</w:t>
            </w:r>
            <w:r>
              <w:rPr>
                <w:noProof/>
              </w:rPr>
              <w:tab/>
            </w:r>
            <w:r>
              <w:rPr>
                <w:noProof/>
              </w:rPr>
              <w:fldChar w:fldCharType="begin"/>
            </w:r>
            <w:r>
              <w:rPr>
                <w:noProof/>
              </w:rPr>
              <w:instrText xml:space="preserve"> PAGEREF _Toc234495281 \h </w:instrText>
            </w:r>
            <w:r>
              <w:rPr>
                <w:noProof/>
              </w:rPr>
            </w:r>
            <w:r>
              <w:rPr>
                <w:noProof/>
              </w:rPr>
              <w:fldChar w:fldCharType="separate"/>
            </w:r>
            <w:r>
              <w:rPr>
                <w:noProof/>
              </w:rPr>
              <w:t>8</w:t>
            </w:r>
            <w:r>
              <w:rPr>
                <w:noProof/>
              </w:rPr>
              <w:fldChar w:fldCharType="end"/>
            </w:r>
          </w:hyperlink>
        </w:p>
        <w:p w14:paraId="3E555E9A" w14:textId="125D423F" w:rsidR="0095101A" w:rsidRDefault="0095101A">
          <w:pPr>
            <w:pStyle w:val="TOC1"/>
            <w:tabs>
              <w:tab w:val="right" w:leader="dot" w:pos="9345"/>
            </w:tabs>
            <w:rPr>
              <w:noProof/>
            </w:rPr>
          </w:pPr>
          <w:hyperlink w:anchor="_Toc234495282" w:history="1">
            <w:r w:rsidRPr="009B1E19">
              <w:rPr>
                <w:rStyle w:val="Hyperlink"/>
                <w:b/>
                <w:bCs/>
                <w:noProof/>
              </w:rPr>
              <w:t>4. Results</w:t>
            </w:r>
            <w:r>
              <w:rPr>
                <w:noProof/>
              </w:rPr>
              <w:tab/>
            </w:r>
            <w:r>
              <w:rPr>
                <w:noProof/>
              </w:rPr>
              <w:fldChar w:fldCharType="begin"/>
            </w:r>
            <w:r>
              <w:rPr>
                <w:noProof/>
              </w:rPr>
              <w:instrText xml:space="preserve"> PAGEREF _Toc234495282 \h </w:instrText>
            </w:r>
            <w:r>
              <w:rPr>
                <w:noProof/>
              </w:rPr>
            </w:r>
            <w:r>
              <w:rPr>
                <w:noProof/>
              </w:rPr>
              <w:fldChar w:fldCharType="separate"/>
            </w:r>
            <w:r>
              <w:rPr>
                <w:noProof/>
              </w:rPr>
              <w:t>8</w:t>
            </w:r>
            <w:r>
              <w:rPr>
                <w:noProof/>
              </w:rPr>
              <w:fldChar w:fldCharType="end"/>
            </w:r>
          </w:hyperlink>
        </w:p>
        <w:p w14:paraId="6C1B0D6A" w14:textId="41A9A257" w:rsidR="0095101A" w:rsidRDefault="0095101A">
          <w:pPr>
            <w:pStyle w:val="TOC2"/>
            <w:tabs>
              <w:tab w:val="right" w:leader="dot" w:pos="9345"/>
            </w:tabs>
            <w:rPr>
              <w:noProof/>
            </w:rPr>
          </w:pPr>
          <w:hyperlink w:anchor="_Toc234495283" w:history="1">
            <w:r w:rsidRPr="009B1E19">
              <w:rPr>
                <w:rStyle w:val="Hyperlink"/>
                <w:b/>
                <w:bCs/>
                <w:noProof/>
              </w:rPr>
              <w:t>4.1 Sample characteristics</w:t>
            </w:r>
            <w:r>
              <w:rPr>
                <w:noProof/>
              </w:rPr>
              <w:tab/>
            </w:r>
            <w:r>
              <w:rPr>
                <w:noProof/>
              </w:rPr>
              <w:fldChar w:fldCharType="begin"/>
            </w:r>
            <w:r>
              <w:rPr>
                <w:noProof/>
              </w:rPr>
              <w:instrText xml:space="preserve"> PAGEREF _Toc234495283 \h </w:instrText>
            </w:r>
            <w:r>
              <w:rPr>
                <w:noProof/>
              </w:rPr>
            </w:r>
            <w:r>
              <w:rPr>
                <w:noProof/>
              </w:rPr>
              <w:fldChar w:fldCharType="separate"/>
            </w:r>
            <w:r>
              <w:rPr>
                <w:noProof/>
              </w:rPr>
              <w:t>8</w:t>
            </w:r>
            <w:r>
              <w:rPr>
                <w:noProof/>
              </w:rPr>
              <w:fldChar w:fldCharType="end"/>
            </w:r>
          </w:hyperlink>
        </w:p>
        <w:p w14:paraId="64DE82AF" w14:textId="74EA659C" w:rsidR="0095101A" w:rsidRDefault="0095101A">
          <w:pPr>
            <w:pStyle w:val="TOC2"/>
            <w:tabs>
              <w:tab w:val="right" w:leader="dot" w:pos="9345"/>
            </w:tabs>
            <w:rPr>
              <w:noProof/>
            </w:rPr>
          </w:pPr>
          <w:hyperlink w:anchor="_Toc234495284" w:history="1">
            <w:r w:rsidRPr="009B1E19">
              <w:rPr>
                <w:rStyle w:val="Hyperlink"/>
                <w:b/>
                <w:bCs/>
                <w:noProof/>
              </w:rPr>
              <w:t>4.2 Awareness, usage, and reasons for non-use</w:t>
            </w:r>
            <w:r>
              <w:rPr>
                <w:noProof/>
              </w:rPr>
              <w:tab/>
            </w:r>
            <w:r>
              <w:rPr>
                <w:noProof/>
              </w:rPr>
              <w:fldChar w:fldCharType="begin"/>
            </w:r>
            <w:r>
              <w:rPr>
                <w:noProof/>
              </w:rPr>
              <w:instrText xml:space="preserve"> PAGEREF _Toc234495284 \h </w:instrText>
            </w:r>
            <w:r>
              <w:rPr>
                <w:noProof/>
              </w:rPr>
            </w:r>
            <w:r>
              <w:rPr>
                <w:noProof/>
              </w:rPr>
              <w:fldChar w:fldCharType="separate"/>
            </w:r>
            <w:r>
              <w:rPr>
                <w:noProof/>
              </w:rPr>
              <w:t>9</w:t>
            </w:r>
            <w:r>
              <w:rPr>
                <w:noProof/>
              </w:rPr>
              <w:fldChar w:fldCharType="end"/>
            </w:r>
          </w:hyperlink>
        </w:p>
        <w:p w14:paraId="4748520F" w14:textId="0D265F67" w:rsidR="0095101A" w:rsidRDefault="0095101A">
          <w:pPr>
            <w:pStyle w:val="TOC2"/>
            <w:tabs>
              <w:tab w:val="right" w:leader="dot" w:pos="9345"/>
            </w:tabs>
            <w:rPr>
              <w:noProof/>
            </w:rPr>
          </w:pPr>
          <w:hyperlink w:anchor="_Toc234495285" w:history="1">
            <w:r w:rsidRPr="009B1E19">
              <w:rPr>
                <w:rStyle w:val="Hyperlink"/>
                <w:b/>
                <w:bCs/>
                <w:noProof/>
              </w:rPr>
              <w:t>4.3 Service evaluation among users</w:t>
            </w:r>
            <w:r>
              <w:rPr>
                <w:noProof/>
              </w:rPr>
              <w:tab/>
            </w:r>
            <w:r>
              <w:rPr>
                <w:noProof/>
              </w:rPr>
              <w:fldChar w:fldCharType="begin"/>
            </w:r>
            <w:r>
              <w:rPr>
                <w:noProof/>
              </w:rPr>
              <w:instrText xml:space="preserve"> PAGEREF _Toc234495285 \h </w:instrText>
            </w:r>
            <w:r>
              <w:rPr>
                <w:noProof/>
              </w:rPr>
            </w:r>
            <w:r>
              <w:rPr>
                <w:noProof/>
              </w:rPr>
              <w:fldChar w:fldCharType="separate"/>
            </w:r>
            <w:r>
              <w:rPr>
                <w:noProof/>
              </w:rPr>
              <w:t>9</w:t>
            </w:r>
            <w:r>
              <w:rPr>
                <w:noProof/>
              </w:rPr>
              <w:fldChar w:fldCharType="end"/>
            </w:r>
          </w:hyperlink>
        </w:p>
        <w:p w14:paraId="3C80E529" w14:textId="2CF00EC0" w:rsidR="0095101A" w:rsidRDefault="0095101A">
          <w:pPr>
            <w:pStyle w:val="TOC2"/>
            <w:tabs>
              <w:tab w:val="right" w:leader="dot" w:pos="9345"/>
            </w:tabs>
            <w:rPr>
              <w:noProof/>
            </w:rPr>
          </w:pPr>
          <w:hyperlink w:anchor="_Toc234495286" w:history="1">
            <w:r w:rsidRPr="009B1E19">
              <w:rPr>
                <w:rStyle w:val="Hyperlink"/>
                <w:b/>
                <w:bCs/>
                <w:noProof/>
              </w:rPr>
              <w:t>4.4 Internship readiness and hypothesis test</w:t>
            </w:r>
            <w:r>
              <w:rPr>
                <w:noProof/>
              </w:rPr>
              <w:tab/>
            </w:r>
            <w:r>
              <w:rPr>
                <w:noProof/>
              </w:rPr>
              <w:fldChar w:fldCharType="begin"/>
            </w:r>
            <w:r>
              <w:rPr>
                <w:noProof/>
              </w:rPr>
              <w:instrText xml:space="preserve"> PAGEREF _Toc234495286 \h </w:instrText>
            </w:r>
            <w:r>
              <w:rPr>
                <w:noProof/>
              </w:rPr>
            </w:r>
            <w:r>
              <w:rPr>
                <w:noProof/>
              </w:rPr>
              <w:fldChar w:fldCharType="separate"/>
            </w:r>
            <w:r>
              <w:rPr>
                <w:noProof/>
              </w:rPr>
              <w:t>10</w:t>
            </w:r>
            <w:r>
              <w:rPr>
                <w:noProof/>
              </w:rPr>
              <w:fldChar w:fldCharType="end"/>
            </w:r>
          </w:hyperlink>
        </w:p>
        <w:p w14:paraId="37E43C53" w14:textId="16D64B45" w:rsidR="0095101A" w:rsidRDefault="0095101A">
          <w:pPr>
            <w:pStyle w:val="TOC2"/>
            <w:tabs>
              <w:tab w:val="right" w:leader="dot" w:pos="9345"/>
            </w:tabs>
            <w:rPr>
              <w:noProof/>
            </w:rPr>
          </w:pPr>
          <w:hyperlink w:anchor="_Toc234495287" w:history="1">
            <w:r w:rsidRPr="009B1E19">
              <w:rPr>
                <w:rStyle w:val="Hyperlink"/>
                <w:b/>
                <w:bCs/>
                <w:noProof/>
              </w:rPr>
              <w:t>4.5 Improvement priorities and open-ended responses</w:t>
            </w:r>
            <w:r>
              <w:rPr>
                <w:noProof/>
              </w:rPr>
              <w:tab/>
            </w:r>
            <w:r>
              <w:rPr>
                <w:noProof/>
              </w:rPr>
              <w:fldChar w:fldCharType="begin"/>
            </w:r>
            <w:r>
              <w:rPr>
                <w:noProof/>
              </w:rPr>
              <w:instrText xml:space="preserve"> PAGEREF _Toc234495287 \h </w:instrText>
            </w:r>
            <w:r>
              <w:rPr>
                <w:noProof/>
              </w:rPr>
            </w:r>
            <w:r>
              <w:rPr>
                <w:noProof/>
              </w:rPr>
              <w:fldChar w:fldCharType="separate"/>
            </w:r>
            <w:r>
              <w:rPr>
                <w:noProof/>
              </w:rPr>
              <w:t>11</w:t>
            </w:r>
            <w:r>
              <w:rPr>
                <w:noProof/>
              </w:rPr>
              <w:fldChar w:fldCharType="end"/>
            </w:r>
          </w:hyperlink>
        </w:p>
        <w:p w14:paraId="49EAFB3E" w14:textId="7842B827" w:rsidR="0095101A" w:rsidRDefault="0095101A">
          <w:pPr>
            <w:pStyle w:val="TOC1"/>
            <w:tabs>
              <w:tab w:val="right" w:leader="dot" w:pos="9345"/>
            </w:tabs>
            <w:rPr>
              <w:noProof/>
            </w:rPr>
          </w:pPr>
          <w:hyperlink w:anchor="_Toc234495288" w:history="1">
            <w:r w:rsidRPr="009B1E19">
              <w:rPr>
                <w:rStyle w:val="Hyperlink"/>
                <w:b/>
                <w:bCs/>
                <w:noProof/>
              </w:rPr>
              <w:t>5. Discussion</w:t>
            </w:r>
            <w:r>
              <w:rPr>
                <w:noProof/>
              </w:rPr>
              <w:tab/>
            </w:r>
            <w:r>
              <w:rPr>
                <w:noProof/>
              </w:rPr>
              <w:fldChar w:fldCharType="begin"/>
            </w:r>
            <w:r>
              <w:rPr>
                <w:noProof/>
              </w:rPr>
              <w:instrText xml:space="preserve"> PAGEREF _Toc234495288 \h </w:instrText>
            </w:r>
            <w:r>
              <w:rPr>
                <w:noProof/>
              </w:rPr>
            </w:r>
            <w:r>
              <w:rPr>
                <w:noProof/>
              </w:rPr>
              <w:fldChar w:fldCharType="separate"/>
            </w:r>
            <w:r>
              <w:rPr>
                <w:noProof/>
              </w:rPr>
              <w:t>12</w:t>
            </w:r>
            <w:r>
              <w:rPr>
                <w:noProof/>
              </w:rPr>
              <w:fldChar w:fldCharType="end"/>
            </w:r>
          </w:hyperlink>
        </w:p>
        <w:p w14:paraId="56B5511D" w14:textId="3460511F" w:rsidR="0095101A" w:rsidRDefault="0095101A">
          <w:pPr>
            <w:pStyle w:val="TOC2"/>
            <w:tabs>
              <w:tab w:val="right" w:leader="dot" w:pos="9345"/>
            </w:tabs>
            <w:rPr>
              <w:noProof/>
            </w:rPr>
          </w:pPr>
          <w:hyperlink w:anchor="_Toc234495289" w:history="1">
            <w:r w:rsidRPr="009B1E19">
              <w:rPr>
                <w:rStyle w:val="Hyperlink"/>
                <w:b/>
                <w:bCs/>
                <w:noProof/>
              </w:rPr>
              <w:t>5.1 Interpretation of findings</w:t>
            </w:r>
            <w:r>
              <w:rPr>
                <w:noProof/>
              </w:rPr>
              <w:tab/>
            </w:r>
            <w:r>
              <w:rPr>
                <w:noProof/>
              </w:rPr>
              <w:fldChar w:fldCharType="begin"/>
            </w:r>
            <w:r>
              <w:rPr>
                <w:noProof/>
              </w:rPr>
              <w:instrText xml:space="preserve"> PAGEREF _Toc234495289 \h </w:instrText>
            </w:r>
            <w:r>
              <w:rPr>
                <w:noProof/>
              </w:rPr>
            </w:r>
            <w:r>
              <w:rPr>
                <w:noProof/>
              </w:rPr>
              <w:fldChar w:fldCharType="separate"/>
            </w:r>
            <w:r>
              <w:rPr>
                <w:noProof/>
              </w:rPr>
              <w:t>12</w:t>
            </w:r>
            <w:r>
              <w:rPr>
                <w:noProof/>
              </w:rPr>
              <w:fldChar w:fldCharType="end"/>
            </w:r>
          </w:hyperlink>
        </w:p>
        <w:p w14:paraId="04F5AC57" w14:textId="347E89F0" w:rsidR="0095101A" w:rsidRDefault="0095101A">
          <w:pPr>
            <w:pStyle w:val="TOC2"/>
            <w:tabs>
              <w:tab w:val="right" w:leader="dot" w:pos="9345"/>
            </w:tabs>
            <w:rPr>
              <w:noProof/>
            </w:rPr>
          </w:pPr>
          <w:hyperlink w:anchor="_Toc234495290" w:history="1">
            <w:r w:rsidRPr="009B1E19">
              <w:rPr>
                <w:rStyle w:val="Hyperlink"/>
                <w:b/>
                <w:bCs/>
                <w:noProof/>
              </w:rPr>
              <w:t>5.2 Connection to the literature</w:t>
            </w:r>
            <w:r>
              <w:rPr>
                <w:noProof/>
              </w:rPr>
              <w:tab/>
            </w:r>
            <w:r>
              <w:rPr>
                <w:noProof/>
              </w:rPr>
              <w:fldChar w:fldCharType="begin"/>
            </w:r>
            <w:r>
              <w:rPr>
                <w:noProof/>
              </w:rPr>
              <w:instrText xml:space="preserve"> PAGEREF _Toc234495290 \h </w:instrText>
            </w:r>
            <w:r>
              <w:rPr>
                <w:noProof/>
              </w:rPr>
            </w:r>
            <w:r>
              <w:rPr>
                <w:noProof/>
              </w:rPr>
              <w:fldChar w:fldCharType="separate"/>
            </w:r>
            <w:r>
              <w:rPr>
                <w:noProof/>
              </w:rPr>
              <w:t>12</w:t>
            </w:r>
            <w:r>
              <w:rPr>
                <w:noProof/>
              </w:rPr>
              <w:fldChar w:fldCharType="end"/>
            </w:r>
          </w:hyperlink>
        </w:p>
        <w:p w14:paraId="5FE1412C" w14:textId="10A54661" w:rsidR="0095101A" w:rsidRDefault="0095101A">
          <w:pPr>
            <w:pStyle w:val="TOC2"/>
            <w:tabs>
              <w:tab w:val="right" w:leader="dot" w:pos="9345"/>
            </w:tabs>
            <w:rPr>
              <w:noProof/>
            </w:rPr>
          </w:pPr>
          <w:hyperlink w:anchor="_Toc234495291" w:history="1">
            <w:r w:rsidRPr="009B1E19">
              <w:rPr>
                <w:rStyle w:val="Hyperlink"/>
                <w:b/>
                <w:bCs/>
                <w:noProof/>
              </w:rPr>
              <w:t>5.3 Unexpected findings</w:t>
            </w:r>
            <w:r>
              <w:rPr>
                <w:noProof/>
              </w:rPr>
              <w:tab/>
            </w:r>
            <w:r>
              <w:rPr>
                <w:noProof/>
              </w:rPr>
              <w:fldChar w:fldCharType="begin"/>
            </w:r>
            <w:r>
              <w:rPr>
                <w:noProof/>
              </w:rPr>
              <w:instrText xml:space="preserve"> PAGEREF _Toc234495291 \h </w:instrText>
            </w:r>
            <w:r>
              <w:rPr>
                <w:noProof/>
              </w:rPr>
            </w:r>
            <w:r>
              <w:rPr>
                <w:noProof/>
              </w:rPr>
              <w:fldChar w:fldCharType="separate"/>
            </w:r>
            <w:r>
              <w:rPr>
                <w:noProof/>
              </w:rPr>
              <w:t>13</w:t>
            </w:r>
            <w:r>
              <w:rPr>
                <w:noProof/>
              </w:rPr>
              <w:fldChar w:fldCharType="end"/>
            </w:r>
          </w:hyperlink>
        </w:p>
        <w:p w14:paraId="5F8E1E55" w14:textId="4F727FA2" w:rsidR="0095101A" w:rsidRDefault="0095101A">
          <w:pPr>
            <w:pStyle w:val="TOC2"/>
            <w:tabs>
              <w:tab w:val="right" w:leader="dot" w:pos="9345"/>
            </w:tabs>
            <w:rPr>
              <w:noProof/>
            </w:rPr>
          </w:pPr>
          <w:hyperlink w:anchor="_Toc234495292" w:history="1">
            <w:r w:rsidRPr="009B1E19">
              <w:rPr>
                <w:rStyle w:val="Hyperlink"/>
                <w:b/>
                <w:bCs/>
                <w:noProof/>
              </w:rPr>
              <w:t>5.4 Limitations</w:t>
            </w:r>
            <w:r>
              <w:rPr>
                <w:noProof/>
              </w:rPr>
              <w:tab/>
            </w:r>
            <w:r>
              <w:rPr>
                <w:noProof/>
              </w:rPr>
              <w:fldChar w:fldCharType="begin"/>
            </w:r>
            <w:r>
              <w:rPr>
                <w:noProof/>
              </w:rPr>
              <w:instrText xml:space="preserve"> PAGEREF _Toc234495292 \h </w:instrText>
            </w:r>
            <w:r>
              <w:rPr>
                <w:noProof/>
              </w:rPr>
            </w:r>
            <w:r>
              <w:rPr>
                <w:noProof/>
              </w:rPr>
              <w:fldChar w:fldCharType="separate"/>
            </w:r>
            <w:r>
              <w:rPr>
                <w:noProof/>
              </w:rPr>
              <w:t>13</w:t>
            </w:r>
            <w:r>
              <w:rPr>
                <w:noProof/>
              </w:rPr>
              <w:fldChar w:fldCharType="end"/>
            </w:r>
          </w:hyperlink>
        </w:p>
        <w:p w14:paraId="6A2E8B8D" w14:textId="2742C9FD" w:rsidR="0095101A" w:rsidRDefault="0095101A">
          <w:pPr>
            <w:pStyle w:val="TOC2"/>
            <w:tabs>
              <w:tab w:val="right" w:leader="dot" w:pos="9345"/>
            </w:tabs>
            <w:rPr>
              <w:noProof/>
            </w:rPr>
          </w:pPr>
          <w:hyperlink w:anchor="_Toc234495293" w:history="1">
            <w:r w:rsidRPr="009B1E19">
              <w:rPr>
                <w:rStyle w:val="Hyperlink"/>
                <w:b/>
                <w:bCs/>
                <w:noProof/>
              </w:rPr>
              <w:t>5.5 Implications</w:t>
            </w:r>
            <w:r>
              <w:rPr>
                <w:noProof/>
              </w:rPr>
              <w:tab/>
            </w:r>
            <w:r>
              <w:rPr>
                <w:noProof/>
              </w:rPr>
              <w:fldChar w:fldCharType="begin"/>
            </w:r>
            <w:r>
              <w:rPr>
                <w:noProof/>
              </w:rPr>
              <w:instrText xml:space="preserve"> PAGEREF _Toc234495293 \h </w:instrText>
            </w:r>
            <w:r>
              <w:rPr>
                <w:noProof/>
              </w:rPr>
            </w:r>
            <w:r>
              <w:rPr>
                <w:noProof/>
              </w:rPr>
              <w:fldChar w:fldCharType="separate"/>
            </w:r>
            <w:r>
              <w:rPr>
                <w:noProof/>
              </w:rPr>
              <w:t>13</w:t>
            </w:r>
            <w:r>
              <w:rPr>
                <w:noProof/>
              </w:rPr>
              <w:fldChar w:fldCharType="end"/>
            </w:r>
          </w:hyperlink>
        </w:p>
        <w:p w14:paraId="16AC96E9" w14:textId="1A28700D" w:rsidR="0095101A" w:rsidRDefault="0095101A">
          <w:pPr>
            <w:pStyle w:val="TOC2"/>
            <w:tabs>
              <w:tab w:val="right" w:leader="dot" w:pos="9345"/>
            </w:tabs>
            <w:rPr>
              <w:noProof/>
            </w:rPr>
          </w:pPr>
          <w:hyperlink w:anchor="_Toc234495294" w:history="1">
            <w:r w:rsidRPr="009B1E19">
              <w:rPr>
                <w:rStyle w:val="Hyperlink"/>
                <w:b/>
                <w:bCs/>
                <w:noProof/>
              </w:rPr>
              <w:t>5.6 Future research</w:t>
            </w:r>
            <w:r>
              <w:rPr>
                <w:noProof/>
              </w:rPr>
              <w:tab/>
            </w:r>
            <w:r>
              <w:rPr>
                <w:noProof/>
              </w:rPr>
              <w:fldChar w:fldCharType="begin"/>
            </w:r>
            <w:r>
              <w:rPr>
                <w:noProof/>
              </w:rPr>
              <w:instrText xml:space="preserve"> PAGEREF _Toc234495294 \h </w:instrText>
            </w:r>
            <w:r>
              <w:rPr>
                <w:noProof/>
              </w:rPr>
            </w:r>
            <w:r>
              <w:rPr>
                <w:noProof/>
              </w:rPr>
              <w:fldChar w:fldCharType="separate"/>
            </w:r>
            <w:r>
              <w:rPr>
                <w:noProof/>
              </w:rPr>
              <w:t>14</w:t>
            </w:r>
            <w:r>
              <w:rPr>
                <w:noProof/>
              </w:rPr>
              <w:fldChar w:fldCharType="end"/>
            </w:r>
          </w:hyperlink>
        </w:p>
        <w:p w14:paraId="762637B1" w14:textId="12A85B1D" w:rsidR="0095101A" w:rsidRDefault="0095101A">
          <w:pPr>
            <w:pStyle w:val="TOC1"/>
            <w:tabs>
              <w:tab w:val="right" w:leader="dot" w:pos="9345"/>
            </w:tabs>
            <w:rPr>
              <w:noProof/>
            </w:rPr>
          </w:pPr>
          <w:hyperlink w:anchor="_Toc234495295" w:history="1">
            <w:r w:rsidRPr="009B1E19">
              <w:rPr>
                <w:rStyle w:val="Hyperlink"/>
                <w:b/>
                <w:bCs/>
                <w:noProof/>
              </w:rPr>
              <w:t>6. Conclusion</w:t>
            </w:r>
            <w:r>
              <w:rPr>
                <w:noProof/>
              </w:rPr>
              <w:tab/>
            </w:r>
            <w:r>
              <w:rPr>
                <w:noProof/>
              </w:rPr>
              <w:fldChar w:fldCharType="begin"/>
            </w:r>
            <w:r>
              <w:rPr>
                <w:noProof/>
              </w:rPr>
              <w:instrText xml:space="preserve"> PAGEREF _Toc234495295 \h </w:instrText>
            </w:r>
            <w:r>
              <w:rPr>
                <w:noProof/>
              </w:rPr>
            </w:r>
            <w:r>
              <w:rPr>
                <w:noProof/>
              </w:rPr>
              <w:fldChar w:fldCharType="separate"/>
            </w:r>
            <w:r>
              <w:rPr>
                <w:noProof/>
              </w:rPr>
              <w:t>14</w:t>
            </w:r>
            <w:r>
              <w:rPr>
                <w:noProof/>
              </w:rPr>
              <w:fldChar w:fldCharType="end"/>
            </w:r>
          </w:hyperlink>
        </w:p>
        <w:p w14:paraId="33337358" w14:textId="4F3F89EF" w:rsidR="0095101A" w:rsidRDefault="0095101A">
          <w:pPr>
            <w:pStyle w:val="TOC1"/>
            <w:tabs>
              <w:tab w:val="right" w:leader="dot" w:pos="9345"/>
            </w:tabs>
            <w:rPr>
              <w:noProof/>
            </w:rPr>
          </w:pPr>
          <w:hyperlink w:anchor="_Toc234495296" w:history="1">
            <w:r w:rsidRPr="009B1E19">
              <w:rPr>
                <w:rStyle w:val="Hyperlink"/>
                <w:b/>
                <w:bCs/>
                <w:noProof/>
              </w:rPr>
              <w:t>References</w:t>
            </w:r>
            <w:r>
              <w:rPr>
                <w:noProof/>
              </w:rPr>
              <w:tab/>
            </w:r>
            <w:r>
              <w:rPr>
                <w:noProof/>
              </w:rPr>
              <w:fldChar w:fldCharType="begin"/>
            </w:r>
            <w:r>
              <w:rPr>
                <w:noProof/>
              </w:rPr>
              <w:instrText xml:space="preserve"> PAGEREF _Toc234495296 \h </w:instrText>
            </w:r>
            <w:r>
              <w:rPr>
                <w:noProof/>
              </w:rPr>
            </w:r>
            <w:r>
              <w:rPr>
                <w:noProof/>
              </w:rPr>
              <w:fldChar w:fldCharType="separate"/>
            </w:r>
            <w:r>
              <w:rPr>
                <w:noProof/>
              </w:rPr>
              <w:t>15</w:t>
            </w:r>
            <w:r>
              <w:rPr>
                <w:noProof/>
              </w:rPr>
              <w:fldChar w:fldCharType="end"/>
            </w:r>
          </w:hyperlink>
        </w:p>
        <w:p w14:paraId="57DCBC20" w14:textId="0C14EA13" w:rsidR="0095101A" w:rsidRDefault="0095101A">
          <w:pPr>
            <w:pStyle w:val="TOC1"/>
            <w:tabs>
              <w:tab w:val="right" w:leader="dot" w:pos="9345"/>
            </w:tabs>
            <w:rPr>
              <w:noProof/>
            </w:rPr>
          </w:pPr>
          <w:hyperlink w:anchor="_Toc234495297" w:history="1">
            <w:r w:rsidRPr="009B1E19">
              <w:rPr>
                <w:rStyle w:val="Hyperlink"/>
                <w:b/>
                <w:bCs/>
                <w:noProof/>
              </w:rPr>
              <w:t>Appendix A: Survey Questionnaire</w:t>
            </w:r>
            <w:r>
              <w:rPr>
                <w:noProof/>
              </w:rPr>
              <w:tab/>
            </w:r>
            <w:r>
              <w:rPr>
                <w:noProof/>
              </w:rPr>
              <w:fldChar w:fldCharType="begin"/>
            </w:r>
            <w:r>
              <w:rPr>
                <w:noProof/>
              </w:rPr>
              <w:instrText xml:space="preserve"> PAGEREF _Toc234495297 \h </w:instrText>
            </w:r>
            <w:r>
              <w:rPr>
                <w:noProof/>
              </w:rPr>
            </w:r>
            <w:r>
              <w:rPr>
                <w:noProof/>
              </w:rPr>
              <w:fldChar w:fldCharType="separate"/>
            </w:r>
            <w:r>
              <w:rPr>
                <w:noProof/>
              </w:rPr>
              <w:t>17</w:t>
            </w:r>
            <w:r>
              <w:rPr>
                <w:noProof/>
              </w:rPr>
              <w:fldChar w:fldCharType="end"/>
            </w:r>
          </w:hyperlink>
        </w:p>
        <w:p w14:paraId="4A2A0A91" w14:textId="3FBD07AC" w:rsidR="0095101A" w:rsidRDefault="0095101A">
          <w:pPr>
            <w:pStyle w:val="TOC2"/>
            <w:tabs>
              <w:tab w:val="right" w:leader="dot" w:pos="9345"/>
            </w:tabs>
            <w:rPr>
              <w:noProof/>
            </w:rPr>
          </w:pPr>
          <w:hyperlink w:anchor="_Toc234495298" w:history="1">
            <w:r w:rsidRPr="009B1E19">
              <w:rPr>
                <w:rStyle w:val="Hyperlink"/>
                <w:b/>
                <w:bCs/>
                <w:noProof/>
              </w:rPr>
              <w:t>Section 1: Consent</w:t>
            </w:r>
            <w:r>
              <w:rPr>
                <w:noProof/>
              </w:rPr>
              <w:tab/>
            </w:r>
            <w:r>
              <w:rPr>
                <w:noProof/>
              </w:rPr>
              <w:fldChar w:fldCharType="begin"/>
            </w:r>
            <w:r>
              <w:rPr>
                <w:noProof/>
              </w:rPr>
              <w:instrText xml:space="preserve"> PAGEREF _Toc234495298 \h </w:instrText>
            </w:r>
            <w:r>
              <w:rPr>
                <w:noProof/>
              </w:rPr>
            </w:r>
            <w:r>
              <w:rPr>
                <w:noProof/>
              </w:rPr>
              <w:fldChar w:fldCharType="separate"/>
            </w:r>
            <w:r>
              <w:rPr>
                <w:noProof/>
              </w:rPr>
              <w:t>17</w:t>
            </w:r>
            <w:r>
              <w:rPr>
                <w:noProof/>
              </w:rPr>
              <w:fldChar w:fldCharType="end"/>
            </w:r>
          </w:hyperlink>
        </w:p>
        <w:p w14:paraId="49E42894" w14:textId="05DBA7D0" w:rsidR="0095101A" w:rsidRDefault="0095101A">
          <w:pPr>
            <w:pStyle w:val="TOC2"/>
            <w:tabs>
              <w:tab w:val="right" w:leader="dot" w:pos="9345"/>
            </w:tabs>
            <w:rPr>
              <w:noProof/>
            </w:rPr>
          </w:pPr>
          <w:hyperlink w:anchor="_Toc234495299" w:history="1">
            <w:r w:rsidRPr="009B1E19">
              <w:rPr>
                <w:rStyle w:val="Hyperlink"/>
                <w:b/>
                <w:bCs/>
                <w:noProof/>
              </w:rPr>
              <w:t>Section 2: Academic Background</w:t>
            </w:r>
            <w:r>
              <w:rPr>
                <w:noProof/>
              </w:rPr>
              <w:tab/>
            </w:r>
            <w:r>
              <w:rPr>
                <w:noProof/>
              </w:rPr>
              <w:fldChar w:fldCharType="begin"/>
            </w:r>
            <w:r>
              <w:rPr>
                <w:noProof/>
              </w:rPr>
              <w:instrText xml:space="preserve"> PAGEREF _Toc234495299 \h </w:instrText>
            </w:r>
            <w:r>
              <w:rPr>
                <w:noProof/>
              </w:rPr>
            </w:r>
            <w:r>
              <w:rPr>
                <w:noProof/>
              </w:rPr>
              <w:fldChar w:fldCharType="separate"/>
            </w:r>
            <w:r>
              <w:rPr>
                <w:noProof/>
              </w:rPr>
              <w:t>17</w:t>
            </w:r>
            <w:r>
              <w:rPr>
                <w:noProof/>
              </w:rPr>
              <w:fldChar w:fldCharType="end"/>
            </w:r>
          </w:hyperlink>
        </w:p>
        <w:p w14:paraId="50F58FAE" w14:textId="58A30145" w:rsidR="0095101A" w:rsidRDefault="0095101A">
          <w:pPr>
            <w:pStyle w:val="TOC2"/>
            <w:tabs>
              <w:tab w:val="right" w:leader="dot" w:pos="9345"/>
            </w:tabs>
            <w:rPr>
              <w:noProof/>
            </w:rPr>
          </w:pPr>
          <w:hyperlink w:anchor="_Toc234495300" w:history="1">
            <w:r w:rsidRPr="009B1E19">
              <w:rPr>
                <w:rStyle w:val="Hyperlink"/>
                <w:b/>
                <w:bCs/>
                <w:noProof/>
              </w:rPr>
              <w:t>Section 3: Internship Experience</w:t>
            </w:r>
            <w:r>
              <w:rPr>
                <w:noProof/>
              </w:rPr>
              <w:tab/>
            </w:r>
            <w:r>
              <w:rPr>
                <w:noProof/>
              </w:rPr>
              <w:fldChar w:fldCharType="begin"/>
            </w:r>
            <w:r>
              <w:rPr>
                <w:noProof/>
              </w:rPr>
              <w:instrText xml:space="preserve"> PAGEREF _Toc234495300 \h </w:instrText>
            </w:r>
            <w:r>
              <w:rPr>
                <w:noProof/>
              </w:rPr>
            </w:r>
            <w:r>
              <w:rPr>
                <w:noProof/>
              </w:rPr>
              <w:fldChar w:fldCharType="separate"/>
            </w:r>
            <w:r>
              <w:rPr>
                <w:noProof/>
              </w:rPr>
              <w:t>17</w:t>
            </w:r>
            <w:r>
              <w:rPr>
                <w:noProof/>
              </w:rPr>
              <w:fldChar w:fldCharType="end"/>
            </w:r>
          </w:hyperlink>
        </w:p>
        <w:p w14:paraId="7795DED9" w14:textId="15D8E7E6" w:rsidR="0095101A" w:rsidRDefault="0095101A">
          <w:pPr>
            <w:pStyle w:val="TOC2"/>
            <w:tabs>
              <w:tab w:val="right" w:leader="dot" w:pos="9345"/>
            </w:tabs>
            <w:rPr>
              <w:noProof/>
            </w:rPr>
          </w:pPr>
          <w:hyperlink w:anchor="_Toc234495301" w:history="1">
            <w:r w:rsidRPr="009B1E19">
              <w:rPr>
                <w:rStyle w:val="Hyperlink"/>
                <w:b/>
                <w:bCs/>
                <w:noProof/>
              </w:rPr>
              <w:t>Section 4: Awareness and Usage</w:t>
            </w:r>
            <w:r>
              <w:rPr>
                <w:noProof/>
              </w:rPr>
              <w:tab/>
            </w:r>
            <w:r>
              <w:rPr>
                <w:noProof/>
              </w:rPr>
              <w:fldChar w:fldCharType="begin"/>
            </w:r>
            <w:r>
              <w:rPr>
                <w:noProof/>
              </w:rPr>
              <w:instrText xml:space="preserve"> PAGEREF _Toc234495301 \h </w:instrText>
            </w:r>
            <w:r>
              <w:rPr>
                <w:noProof/>
              </w:rPr>
            </w:r>
            <w:r>
              <w:rPr>
                <w:noProof/>
              </w:rPr>
              <w:fldChar w:fldCharType="separate"/>
            </w:r>
            <w:r>
              <w:rPr>
                <w:noProof/>
              </w:rPr>
              <w:t>17</w:t>
            </w:r>
            <w:r>
              <w:rPr>
                <w:noProof/>
              </w:rPr>
              <w:fldChar w:fldCharType="end"/>
            </w:r>
          </w:hyperlink>
        </w:p>
        <w:p w14:paraId="4B932677" w14:textId="218FE9DF" w:rsidR="0095101A" w:rsidRDefault="0095101A">
          <w:pPr>
            <w:pStyle w:val="TOC2"/>
            <w:tabs>
              <w:tab w:val="right" w:leader="dot" w:pos="9345"/>
            </w:tabs>
            <w:rPr>
              <w:noProof/>
            </w:rPr>
          </w:pPr>
          <w:hyperlink w:anchor="_Toc234495302" w:history="1">
            <w:r w:rsidRPr="009B1E19">
              <w:rPr>
                <w:rStyle w:val="Hyperlink"/>
                <w:b/>
                <w:bCs/>
                <w:noProof/>
              </w:rPr>
              <w:t>Section 5A: Support Use Details (users only)</w:t>
            </w:r>
            <w:r>
              <w:rPr>
                <w:noProof/>
              </w:rPr>
              <w:tab/>
            </w:r>
            <w:r>
              <w:rPr>
                <w:noProof/>
              </w:rPr>
              <w:fldChar w:fldCharType="begin"/>
            </w:r>
            <w:r>
              <w:rPr>
                <w:noProof/>
              </w:rPr>
              <w:instrText xml:space="preserve"> PAGEREF _Toc234495302 \h </w:instrText>
            </w:r>
            <w:r>
              <w:rPr>
                <w:noProof/>
              </w:rPr>
            </w:r>
            <w:r>
              <w:rPr>
                <w:noProof/>
              </w:rPr>
              <w:fldChar w:fldCharType="separate"/>
            </w:r>
            <w:r>
              <w:rPr>
                <w:noProof/>
              </w:rPr>
              <w:t>17</w:t>
            </w:r>
            <w:r>
              <w:rPr>
                <w:noProof/>
              </w:rPr>
              <w:fldChar w:fldCharType="end"/>
            </w:r>
          </w:hyperlink>
        </w:p>
        <w:p w14:paraId="673771FA" w14:textId="4503B0D0" w:rsidR="0095101A" w:rsidRDefault="0095101A">
          <w:pPr>
            <w:pStyle w:val="TOC2"/>
            <w:tabs>
              <w:tab w:val="right" w:leader="dot" w:pos="9345"/>
            </w:tabs>
            <w:rPr>
              <w:noProof/>
            </w:rPr>
          </w:pPr>
          <w:hyperlink w:anchor="_Toc234495303" w:history="1">
            <w:r w:rsidRPr="009B1E19">
              <w:rPr>
                <w:rStyle w:val="Hyperlink"/>
                <w:b/>
                <w:bCs/>
                <w:noProof/>
              </w:rPr>
              <w:t>Section 5B: Non-Use Reason (non-users only)</w:t>
            </w:r>
            <w:r>
              <w:rPr>
                <w:noProof/>
              </w:rPr>
              <w:tab/>
            </w:r>
            <w:r>
              <w:rPr>
                <w:noProof/>
              </w:rPr>
              <w:fldChar w:fldCharType="begin"/>
            </w:r>
            <w:r>
              <w:rPr>
                <w:noProof/>
              </w:rPr>
              <w:instrText xml:space="preserve"> PAGEREF _Toc234495303 \h </w:instrText>
            </w:r>
            <w:r>
              <w:rPr>
                <w:noProof/>
              </w:rPr>
            </w:r>
            <w:r>
              <w:rPr>
                <w:noProof/>
              </w:rPr>
              <w:fldChar w:fldCharType="separate"/>
            </w:r>
            <w:r>
              <w:rPr>
                <w:noProof/>
              </w:rPr>
              <w:t>18</w:t>
            </w:r>
            <w:r>
              <w:rPr>
                <w:noProof/>
              </w:rPr>
              <w:fldChar w:fldCharType="end"/>
            </w:r>
          </w:hyperlink>
        </w:p>
        <w:p w14:paraId="551C805A" w14:textId="3B936341" w:rsidR="0095101A" w:rsidRDefault="0095101A">
          <w:pPr>
            <w:pStyle w:val="TOC2"/>
            <w:tabs>
              <w:tab w:val="right" w:leader="dot" w:pos="9345"/>
            </w:tabs>
            <w:rPr>
              <w:noProof/>
            </w:rPr>
          </w:pPr>
          <w:hyperlink w:anchor="_Toc234495304" w:history="1">
            <w:r w:rsidRPr="009B1E19">
              <w:rPr>
                <w:rStyle w:val="Hyperlink"/>
                <w:b/>
                <w:bCs/>
                <w:noProof/>
              </w:rPr>
              <w:t>Section 6: Internship Readiness (all respondents)</w:t>
            </w:r>
            <w:r>
              <w:rPr>
                <w:noProof/>
              </w:rPr>
              <w:tab/>
            </w:r>
            <w:r>
              <w:rPr>
                <w:noProof/>
              </w:rPr>
              <w:fldChar w:fldCharType="begin"/>
            </w:r>
            <w:r>
              <w:rPr>
                <w:noProof/>
              </w:rPr>
              <w:instrText xml:space="preserve"> PAGEREF _Toc234495304 \h </w:instrText>
            </w:r>
            <w:r>
              <w:rPr>
                <w:noProof/>
              </w:rPr>
            </w:r>
            <w:r>
              <w:rPr>
                <w:noProof/>
              </w:rPr>
              <w:fldChar w:fldCharType="separate"/>
            </w:r>
            <w:r>
              <w:rPr>
                <w:noProof/>
              </w:rPr>
              <w:t>18</w:t>
            </w:r>
            <w:r>
              <w:rPr>
                <w:noProof/>
              </w:rPr>
              <w:fldChar w:fldCharType="end"/>
            </w:r>
          </w:hyperlink>
        </w:p>
        <w:p w14:paraId="4174D230" w14:textId="404AACCA" w:rsidR="0095101A" w:rsidRDefault="0095101A">
          <w:pPr>
            <w:pStyle w:val="TOC2"/>
            <w:tabs>
              <w:tab w:val="right" w:leader="dot" w:pos="9345"/>
            </w:tabs>
            <w:rPr>
              <w:noProof/>
            </w:rPr>
          </w:pPr>
          <w:hyperlink w:anchor="_Toc234495305" w:history="1">
            <w:r w:rsidRPr="009B1E19">
              <w:rPr>
                <w:rStyle w:val="Hyperlink"/>
                <w:b/>
                <w:bCs/>
                <w:noProof/>
              </w:rPr>
              <w:t>Section 7: Improvement Priority</w:t>
            </w:r>
            <w:r>
              <w:rPr>
                <w:noProof/>
              </w:rPr>
              <w:tab/>
            </w:r>
            <w:r>
              <w:rPr>
                <w:noProof/>
              </w:rPr>
              <w:fldChar w:fldCharType="begin"/>
            </w:r>
            <w:r>
              <w:rPr>
                <w:noProof/>
              </w:rPr>
              <w:instrText xml:space="preserve"> PAGEREF _Toc234495305 \h </w:instrText>
            </w:r>
            <w:r>
              <w:rPr>
                <w:noProof/>
              </w:rPr>
            </w:r>
            <w:r>
              <w:rPr>
                <w:noProof/>
              </w:rPr>
              <w:fldChar w:fldCharType="separate"/>
            </w:r>
            <w:r>
              <w:rPr>
                <w:noProof/>
              </w:rPr>
              <w:t>18</w:t>
            </w:r>
            <w:r>
              <w:rPr>
                <w:noProof/>
              </w:rPr>
              <w:fldChar w:fldCharType="end"/>
            </w:r>
          </w:hyperlink>
        </w:p>
        <w:p w14:paraId="39B05EF1" w14:textId="4CDA6F34" w:rsidR="0095101A" w:rsidRDefault="0095101A">
          <w:pPr>
            <w:pStyle w:val="TOC2"/>
            <w:tabs>
              <w:tab w:val="right" w:leader="dot" w:pos="9345"/>
            </w:tabs>
            <w:rPr>
              <w:noProof/>
            </w:rPr>
          </w:pPr>
          <w:hyperlink w:anchor="_Toc234495306" w:history="1">
            <w:r w:rsidRPr="009B1E19">
              <w:rPr>
                <w:rStyle w:val="Hyperlink"/>
                <w:b/>
                <w:bCs/>
                <w:noProof/>
              </w:rPr>
              <w:t>Section 8: Open-Ended Questions (optional)</w:t>
            </w:r>
            <w:r>
              <w:rPr>
                <w:noProof/>
              </w:rPr>
              <w:tab/>
            </w:r>
            <w:r>
              <w:rPr>
                <w:noProof/>
              </w:rPr>
              <w:fldChar w:fldCharType="begin"/>
            </w:r>
            <w:r>
              <w:rPr>
                <w:noProof/>
              </w:rPr>
              <w:instrText xml:space="preserve"> PAGEREF _Toc234495306 \h </w:instrText>
            </w:r>
            <w:r>
              <w:rPr>
                <w:noProof/>
              </w:rPr>
            </w:r>
            <w:r>
              <w:rPr>
                <w:noProof/>
              </w:rPr>
              <w:fldChar w:fldCharType="separate"/>
            </w:r>
            <w:r>
              <w:rPr>
                <w:noProof/>
              </w:rPr>
              <w:t>18</w:t>
            </w:r>
            <w:r>
              <w:rPr>
                <w:noProof/>
              </w:rPr>
              <w:fldChar w:fldCharType="end"/>
            </w:r>
          </w:hyperlink>
        </w:p>
        <w:p w14:paraId="3E3725C8" w14:textId="6CFC038B" w:rsidR="0095101A" w:rsidRDefault="0095101A">
          <w:pPr>
            <w:pStyle w:val="TOC1"/>
            <w:tabs>
              <w:tab w:val="right" w:leader="dot" w:pos="9345"/>
            </w:tabs>
            <w:rPr>
              <w:noProof/>
            </w:rPr>
          </w:pPr>
          <w:hyperlink w:anchor="_Toc234495307" w:history="1">
            <w:r w:rsidRPr="009B1E19">
              <w:rPr>
                <w:rStyle w:val="Hyperlink"/>
                <w:b/>
                <w:bCs/>
                <w:noProof/>
              </w:rPr>
              <w:t>Appendix B: Informed Consent Text</w:t>
            </w:r>
            <w:r>
              <w:rPr>
                <w:noProof/>
              </w:rPr>
              <w:tab/>
            </w:r>
            <w:r>
              <w:rPr>
                <w:noProof/>
              </w:rPr>
              <w:fldChar w:fldCharType="begin"/>
            </w:r>
            <w:r>
              <w:rPr>
                <w:noProof/>
              </w:rPr>
              <w:instrText xml:space="preserve"> PAGEREF _Toc234495307 \h </w:instrText>
            </w:r>
            <w:r>
              <w:rPr>
                <w:noProof/>
              </w:rPr>
            </w:r>
            <w:r>
              <w:rPr>
                <w:noProof/>
              </w:rPr>
              <w:fldChar w:fldCharType="separate"/>
            </w:r>
            <w:r>
              <w:rPr>
                <w:noProof/>
              </w:rPr>
              <w:t>19</w:t>
            </w:r>
            <w:r>
              <w:rPr>
                <w:noProof/>
              </w:rPr>
              <w:fldChar w:fldCharType="end"/>
            </w:r>
          </w:hyperlink>
        </w:p>
        <w:p w14:paraId="64B14883" w14:textId="595AFFA2" w:rsidR="0095101A" w:rsidRDefault="0095101A">
          <w:pPr>
            <w:pStyle w:val="TOC1"/>
            <w:tabs>
              <w:tab w:val="right" w:leader="dot" w:pos="9345"/>
            </w:tabs>
            <w:rPr>
              <w:noProof/>
            </w:rPr>
          </w:pPr>
          <w:hyperlink w:anchor="_Toc234495308" w:history="1">
            <w:r w:rsidRPr="009B1E19">
              <w:rPr>
                <w:rStyle w:val="Hyperlink"/>
                <w:b/>
                <w:bCs/>
                <w:noProof/>
              </w:rPr>
              <w:t>Appendix C: Additional Tables</w:t>
            </w:r>
            <w:r>
              <w:rPr>
                <w:noProof/>
              </w:rPr>
              <w:tab/>
            </w:r>
            <w:r>
              <w:rPr>
                <w:noProof/>
              </w:rPr>
              <w:fldChar w:fldCharType="begin"/>
            </w:r>
            <w:r>
              <w:rPr>
                <w:noProof/>
              </w:rPr>
              <w:instrText xml:space="preserve"> PAGEREF _Toc234495308 \h </w:instrText>
            </w:r>
            <w:r>
              <w:rPr>
                <w:noProof/>
              </w:rPr>
            </w:r>
            <w:r>
              <w:rPr>
                <w:noProof/>
              </w:rPr>
              <w:fldChar w:fldCharType="separate"/>
            </w:r>
            <w:r>
              <w:rPr>
                <w:noProof/>
              </w:rPr>
              <w:t>20</w:t>
            </w:r>
            <w:r>
              <w:rPr>
                <w:noProof/>
              </w:rPr>
              <w:fldChar w:fldCharType="end"/>
            </w:r>
          </w:hyperlink>
        </w:p>
        <w:p w14:paraId="2DEB4762" w14:textId="0037C826" w:rsidR="006D6679" w:rsidRDefault="00000000">
          <w:r>
            <w:fldChar w:fldCharType="end"/>
          </w:r>
        </w:p>
      </w:sdtContent>
    </w:sdt>
    <w:p w14:paraId="361E454E" w14:textId="77777777" w:rsidR="006D6679" w:rsidRDefault="00000000">
      <w:pPr>
        <w:spacing w:after="200" w:line="360" w:lineRule="auto"/>
        <w:jc w:val="both"/>
      </w:pPr>
      <w:r>
        <w:rPr>
          <w:i/>
          <w:iCs/>
        </w:rPr>
        <w:t>Note: after opening this document in Word, right-click the table of contents and choose “Update Field” to populate page numbers.</w:t>
      </w:r>
    </w:p>
    <w:p w14:paraId="42559ED9" w14:textId="77777777" w:rsidR="006D6679" w:rsidRDefault="00000000">
      <w:r>
        <w:br w:type="page"/>
      </w:r>
    </w:p>
    <w:p w14:paraId="69BBB8AE" w14:textId="77777777" w:rsidR="006D6679" w:rsidRDefault="00000000">
      <w:pPr>
        <w:pStyle w:val="Heading1"/>
        <w:spacing w:before="280" w:after="160" w:line="360" w:lineRule="auto"/>
      </w:pPr>
      <w:bookmarkStart w:id="2" w:name="_Toc234495265"/>
      <w:r>
        <w:rPr>
          <w:b/>
          <w:bCs/>
          <w:color w:val="000000"/>
          <w:sz w:val="28"/>
          <w:szCs w:val="28"/>
        </w:rPr>
        <w:lastRenderedPageBreak/>
        <w:t>List of Tables</w:t>
      </w:r>
      <w:bookmarkEnd w:id="2"/>
    </w:p>
    <w:p w14:paraId="61A8E0D9" w14:textId="77777777" w:rsidR="006D6679" w:rsidRDefault="00000000">
      <w:pPr>
        <w:spacing w:after="120" w:line="360" w:lineRule="auto"/>
      </w:pPr>
      <w:r>
        <w:t>Table 1. Sample characteristics (N = 122)</w:t>
      </w:r>
    </w:p>
    <w:p w14:paraId="26C6C56B" w14:textId="77777777" w:rsidR="006D6679" w:rsidRDefault="00000000">
      <w:pPr>
        <w:spacing w:after="120" w:line="360" w:lineRule="auto"/>
      </w:pPr>
      <w:r>
        <w:t>Table 2. Service-evaluation ratings among support users (n = 38)</w:t>
      </w:r>
    </w:p>
    <w:p w14:paraId="32905285" w14:textId="77777777" w:rsidR="006D6679" w:rsidRDefault="00000000">
      <w:pPr>
        <w:spacing w:after="120" w:line="360" w:lineRule="auto"/>
      </w:pPr>
      <w:r>
        <w:t>Table 3. Welch t-test: readiness score by service usage</w:t>
      </w:r>
    </w:p>
    <w:p w14:paraId="65BA7814" w14:textId="77777777" w:rsidR="006D6679" w:rsidRDefault="00000000">
      <w:pPr>
        <w:pStyle w:val="Heading1"/>
        <w:spacing w:before="280" w:after="160" w:line="360" w:lineRule="auto"/>
      </w:pPr>
      <w:bookmarkStart w:id="3" w:name="_Toc234495266"/>
      <w:r>
        <w:rPr>
          <w:b/>
          <w:bCs/>
          <w:color w:val="000000"/>
          <w:sz w:val="28"/>
          <w:szCs w:val="28"/>
        </w:rPr>
        <w:t>List of Figures</w:t>
      </w:r>
      <w:bookmarkEnd w:id="3"/>
    </w:p>
    <w:p w14:paraId="3D9D8735" w14:textId="77777777" w:rsidR="006D6679" w:rsidRDefault="00000000">
      <w:pPr>
        <w:spacing w:after="120" w:line="360" w:lineRule="auto"/>
      </w:pPr>
      <w:r>
        <w:t>Figure 1. Mean service-evaluation ratings among support users (n = 38)</w:t>
      </w:r>
    </w:p>
    <w:p w14:paraId="5F58E454" w14:textId="77777777" w:rsidR="006D6679" w:rsidRDefault="00000000">
      <w:pPr>
        <w:spacing w:after="120" w:line="360" w:lineRule="auto"/>
      </w:pPr>
      <w:r>
        <w:t>Figure 2. Mean readiness score by service usage (error bars show ± 1 SD)</w:t>
      </w:r>
    </w:p>
    <w:p w14:paraId="703C4FD1" w14:textId="77777777" w:rsidR="006D6679" w:rsidRDefault="006D6679">
      <w:pPr>
        <w:sectPr w:rsidR="006D6679">
          <w:footerReference w:type="default" r:id="rId7"/>
          <w:pgSz w:w="11906" w:h="16838"/>
          <w:pgMar w:top="1417" w:right="850" w:bottom="1417" w:left="1701" w:header="708" w:footer="708" w:gutter="0"/>
          <w:pgNumType w:fmt="lowerRoman" w:start="1"/>
          <w:cols w:space="720"/>
          <w:docGrid w:linePitch="360"/>
        </w:sectPr>
      </w:pPr>
    </w:p>
    <w:p w14:paraId="54CEF4F1" w14:textId="77777777" w:rsidR="006D6679" w:rsidRDefault="00000000">
      <w:pPr>
        <w:pStyle w:val="Heading1"/>
        <w:spacing w:before="280" w:after="160" w:line="360" w:lineRule="auto"/>
      </w:pPr>
      <w:bookmarkStart w:id="4" w:name="_Toc234495267"/>
      <w:r>
        <w:rPr>
          <w:b/>
          <w:bCs/>
          <w:color w:val="000000"/>
          <w:sz w:val="28"/>
          <w:szCs w:val="28"/>
        </w:rPr>
        <w:lastRenderedPageBreak/>
        <w:t>1. Introduction</w:t>
      </w:r>
      <w:bookmarkEnd w:id="4"/>
    </w:p>
    <w:p w14:paraId="2297B0AC" w14:textId="77777777" w:rsidR="006D6679" w:rsidRDefault="00000000">
      <w:pPr>
        <w:spacing w:after="120" w:line="360" w:lineRule="auto"/>
        <w:jc w:val="both"/>
      </w:pPr>
      <w:r>
        <w:t xml:space="preserve">Internships have become one of the most important bridges between undergraduate study and professional employment. Through them, students connect academic knowledge to real workplace practice, gain experience, explore career interests, build professional networks, and develop the confidence they need to compete in an increasingly crowded graduate </w:t>
      </w:r>
      <w:proofErr w:type="spellStart"/>
      <w:r>
        <w:t>labour</w:t>
      </w:r>
      <w:proofErr w:type="spellEnd"/>
      <w:r>
        <w:t xml:space="preserve"> market. As a degree alone no longer guarantees employment, responsibility for building employability has shifted increasingly onto students themselves, and universities are now widely judged on how well they prepare graduates for this transition rather than simply on the qualifications they award [1].</w:t>
      </w:r>
    </w:p>
    <w:p w14:paraId="30617846" w14:textId="77777777" w:rsidR="006D6679" w:rsidRDefault="00000000">
      <w:pPr>
        <w:spacing w:after="120" w:line="360" w:lineRule="auto"/>
        <w:jc w:val="both"/>
      </w:pPr>
      <w:r>
        <w:t xml:space="preserve">Universities typically try to meet this need through internship support services: sharing internship announcements, </w:t>
      </w:r>
      <w:proofErr w:type="spellStart"/>
      <w:r>
        <w:t>organising</w:t>
      </w:r>
      <w:proofErr w:type="spellEnd"/>
      <w:r>
        <w:t xml:space="preserve"> employer and alumni events, reviewing CVs, offering interview preparation, and advising students on what employers expect. In principle, these services should smooth the path from classroom to workplace. In practice, however, the existing literature reveals a persistent “satisfaction–</w:t>
      </w:r>
      <w:proofErr w:type="spellStart"/>
      <w:r>
        <w:t>utilisation</w:t>
      </w:r>
      <w:proofErr w:type="spellEnd"/>
      <w:r>
        <w:t xml:space="preserve"> paradox”: while most students report that their university helped prepare them for life after graduation, only around a third actually use their institution’s </w:t>
      </w:r>
      <w:proofErr w:type="spellStart"/>
      <w:r>
        <w:t>centralised</w:t>
      </w:r>
      <w:proofErr w:type="spellEnd"/>
      <w:r>
        <w:t xml:space="preserve"> career services directly [2]. Research further shows that students tend to value concrete, practical help such as CV reviews and mock interviews, but are far less satisfied when they seek </w:t>
      </w:r>
      <w:proofErr w:type="spellStart"/>
      <w:r>
        <w:t>personalised</w:t>
      </w:r>
      <w:proofErr w:type="spellEnd"/>
      <w:r>
        <w:t>, in-depth guidance [3]. In short, the mere existence of support services does not guarantee that students are aware of them, use them, or find them useful.</w:t>
      </w:r>
    </w:p>
    <w:p w14:paraId="264FDB57" w14:textId="77777777" w:rsidR="006D6679" w:rsidRDefault="00000000">
      <w:pPr>
        <w:spacing w:after="120" w:line="360" w:lineRule="auto"/>
        <w:jc w:val="both"/>
      </w:pPr>
      <w:r>
        <w:t>This gap between provision and perceived usefulness is precisely where the value of a support service is won or lost. If students do not know where internship information lives, cannot easily access support, or feel that what is offered does not match their needs, they are likely to enter the internship search underprepared regardless of what the university formally provides. At Kutaisi International University (KIU), no systematic evidence currently exists on how undergraduate students perceive the internship support services available to them. Without this evidence, it is difficult for the university to know which parts of its support are working, which are underused, and where improvement would have the greatest effect.</w:t>
      </w:r>
    </w:p>
    <w:p w14:paraId="609E5E23" w14:textId="77777777" w:rsidR="006D6679" w:rsidRDefault="00000000">
      <w:pPr>
        <w:spacing w:after="120" w:line="360" w:lineRule="auto"/>
        <w:jc w:val="both"/>
      </w:pPr>
      <w:r>
        <w:rPr>
          <w:b/>
          <w:bCs/>
        </w:rPr>
        <w:t xml:space="preserve">Research question. </w:t>
      </w:r>
      <w:r>
        <w:t xml:space="preserve">This study is guided by the following research question: </w:t>
      </w:r>
      <w:r>
        <w:rPr>
          <w:i/>
          <w:iCs/>
        </w:rPr>
        <w:t>How effective do KIU undergraduate students perceive KIU’s internship support services to be in helping them find, prepare for, and apply to internships?</w:t>
      </w:r>
    </w:p>
    <w:p w14:paraId="368E5422" w14:textId="77777777" w:rsidR="006D6679" w:rsidRDefault="00000000">
      <w:pPr>
        <w:spacing w:after="120" w:line="360" w:lineRule="auto"/>
        <w:jc w:val="both"/>
      </w:pPr>
      <w:r>
        <w:rPr>
          <w:b/>
          <w:bCs/>
        </w:rPr>
        <w:t xml:space="preserve">Hypotheses. </w:t>
      </w:r>
      <w:r>
        <w:t>To examine whether using these services is associated with greater preparedness, the study tests the following hypotheses:</w:t>
      </w:r>
    </w:p>
    <w:p w14:paraId="0D3E7A04" w14:textId="77777777" w:rsidR="006D6679" w:rsidRDefault="00000000">
      <w:pPr>
        <w:spacing w:after="120" w:line="360" w:lineRule="auto"/>
        <w:jc w:val="both"/>
      </w:pPr>
      <w:r>
        <w:rPr>
          <w:b/>
          <w:bCs/>
        </w:rPr>
        <w:lastRenderedPageBreak/>
        <w:t xml:space="preserve">H₀: </w:t>
      </w:r>
      <w:r>
        <w:t>There is no significant difference in perceived internship readiness between students who have used KIU internship support services and students who have not.</w:t>
      </w:r>
    </w:p>
    <w:p w14:paraId="30DBA0E1" w14:textId="77777777" w:rsidR="006D6679" w:rsidRDefault="00000000">
      <w:pPr>
        <w:spacing w:after="120" w:line="360" w:lineRule="auto"/>
        <w:jc w:val="both"/>
      </w:pPr>
      <w:r>
        <w:rPr>
          <w:b/>
          <w:bCs/>
        </w:rPr>
        <w:t xml:space="preserve">H₁: </w:t>
      </w:r>
      <w:r>
        <w:t>Students who have used KIU internship support services report significantly higher perceived internship readiness than students who have not.</w:t>
      </w:r>
    </w:p>
    <w:p w14:paraId="74B79EC4" w14:textId="77777777" w:rsidR="006D6679" w:rsidRDefault="00000000">
      <w:pPr>
        <w:spacing w:after="120" w:line="360" w:lineRule="auto"/>
        <w:jc w:val="both"/>
      </w:pPr>
      <w:r>
        <w:rPr>
          <w:b/>
          <w:bCs/>
        </w:rPr>
        <w:t xml:space="preserve">Objectives. </w:t>
      </w:r>
      <w:r>
        <w:t>The study aims to (1) measure students’ awareness and usage of KIU internship support services and the reasons some students do not use them; (2) assess how support users rate specific service dimensions such as CV support, interview preparation, communication, and industry connections; and (3) compare perceived internship readiness between service users and non-users.</w:t>
      </w:r>
    </w:p>
    <w:p w14:paraId="4352CCE6" w14:textId="77777777" w:rsidR="006D6679" w:rsidRDefault="00000000">
      <w:pPr>
        <w:spacing w:after="120" w:line="360" w:lineRule="auto"/>
        <w:jc w:val="both"/>
      </w:pPr>
      <w:r>
        <w:rPr>
          <w:b/>
          <w:bCs/>
        </w:rPr>
        <w:t xml:space="preserve">Significance. </w:t>
      </w:r>
      <w:r>
        <w:t>The findings give KIU a clearer, evidence-based picture of how students actually experience its internship support, moving beyond assumptions about what students know and use. Identifying specific strengths and weaknesses can help the university target improvements — such as earlier communication, more practical preparation, or stronger employer engagement — where they will matter most, while also contributing a small piece of local evidence to the broader discussion of how universities can make career support more visible and useful.</w:t>
      </w:r>
    </w:p>
    <w:p w14:paraId="5A8B6B98" w14:textId="77777777" w:rsidR="006D6679" w:rsidRDefault="00000000">
      <w:pPr>
        <w:spacing w:after="120" w:line="360" w:lineRule="auto"/>
        <w:jc w:val="both"/>
      </w:pPr>
      <w:r>
        <w:rPr>
          <w:b/>
          <w:bCs/>
        </w:rPr>
        <w:t xml:space="preserve">Scope. </w:t>
      </w:r>
      <w:r>
        <w:t>The study focuses on undergraduate students in KIU’s Computer Science, Management, and Mathematics schools, from the 2nd through 4th year, and captures their perceptions at a single point in time through an anonymous online survey. It measures perceived readiness and satisfaction rather than actual internship placement outcomes, and because it uses convenience sampling within these three schools, its findings describe the surveyed group rather than the entire KIU student body.</w:t>
      </w:r>
    </w:p>
    <w:p w14:paraId="31AB9078" w14:textId="77777777" w:rsidR="006D6679" w:rsidRDefault="00000000">
      <w:pPr>
        <w:pStyle w:val="Heading1"/>
        <w:spacing w:before="280" w:after="160" w:line="360" w:lineRule="auto"/>
      </w:pPr>
      <w:bookmarkStart w:id="5" w:name="_Toc234495268"/>
      <w:r>
        <w:rPr>
          <w:b/>
          <w:bCs/>
          <w:color w:val="000000"/>
          <w:sz w:val="28"/>
          <w:szCs w:val="28"/>
        </w:rPr>
        <w:t>2. Literature Review</w:t>
      </w:r>
      <w:bookmarkEnd w:id="5"/>
    </w:p>
    <w:p w14:paraId="1DD214CD" w14:textId="77777777" w:rsidR="006D6679" w:rsidRDefault="00000000">
      <w:pPr>
        <w:pStyle w:val="Heading2"/>
        <w:spacing w:before="220" w:after="120" w:line="360" w:lineRule="auto"/>
      </w:pPr>
      <w:bookmarkStart w:id="6" w:name="_Toc234495269"/>
      <w:r>
        <w:rPr>
          <w:b/>
          <w:bCs/>
          <w:color w:val="000000"/>
          <w:sz w:val="24"/>
          <w:szCs w:val="24"/>
        </w:rPr>
        <w:t>2.1 Conceptual frameworks of graduate employability</w:t>
      </w:r>
      <w:bookmarkEnd w:id="6"/>
    </w:p>
    <w:p w14:paraId="1F74C1B5" w14:textId="77777777" w:rsidR="006D6679" w:rsidRDefault="00000000">
      <w:pPr>
        <w:spacing w:after="120" w:line="360" w:lineRule="auto"/>
        <w:jc w:val="both"/>
      </w:pPr>
      <w:r>
        <w:t xml:space="preserve">The starting point for this literature is a shared rejection of the idea that employability is a checklist of technical skills. Beyond that agreement, however, the major frameworks differ in where they locate the problem. Yorke and Knight’s USEM model places it inside the curriculum: employability emerges from understanding, </w:t>
      </w:r>
      <w:proofErr w:type="spellStart"/>
      <w:r>
        <w:t>skilful</w:t>
      </w:r>
      <w:proofErr w:type="spellEnd"/>
      <w:r>
        <w:t xml:space="preserve"> practice, efficacy beliefs, and metacognition, and is therefore best built through high-quality active learning rather than bolt-on skills training [4]. Tomlinson, writing from a sociological perspective, instead locates the problem in the </w:t>
      </w:r>
      <w:proofErr w:type="spellStart"/>
      <w:r>
        <w:t>labour</w:t>
      </w:r>
      <w:proofErr w:type="spellEnd"/>
      <w:r>
        <w:t xml:space="preserve"> market itself: mass higher education has created “credentials congestion,” shifting responsibility onto students to accumulate five forms of capital — human, social, cultural, identity, and </w:t>
      </w:r>
      <w:r>
        <w:lastRenderedPageBreak/>
        <w:t xml:space="preserve">psychological — to stay competitive [1], [5]. Where USEM </w:t>
      </w:r>
      <w:proofErr w:type="spellStart"/>
      <w:proofErr w:type="gramStart"/>
      <w:r>
        <w:t>emphasises</w:t>
      </w:r>
      <w:proofErr w:type="spellEnd"/>
      <w:proofErr w:type="gramEnd"/>
      <w:r>
        <w:t xml:space="preserve"> what universities should teach, the Graduate Capital Model </w:t>
      </w:r>
      <w:proofErr w:type="spellStart"/>
      <w:r>
        <w:t>emphasises</w:t>
      </w:r>
      <w:proofErr w:type="spellEnd"/>
      <w:r>
        <w:t xml:space="preserve"> what students must acquire, including resources such as networks that lie largely outside the classroom.</w:t>
      </w:r>
    </w:p>
    <w:p w14:paraId="5D38104C" w14:textId="77777777" w:rsidR="006D6679" w:rsidRDefault="00000000">
      <w:pPr>
        <w:spacing w:after="120" w:line="360" w:lineRule="auto"/>
        <w:jc w:val="both"/>
      </w:pPr>
      <w:r>
        <w:t xml:space="preserve">Dacre Pool and Sewell’s </w:t>
      </w:r>
      <w:proofErr w:type="spellStart"/>
      <w:r>
        <w:t>CareerEDGE</w:t>
      </w:r>
      <w:proofErr w:type="spellEnd"/>
      <w:r>
        <w:t xml:space="preserve"> model bridges these positions by specifying the mechanism that turns inputs into outcomes: career development learning, experience, subject knowledge, generic skills, and emotional intelligence only become employability when reflection converts them into self-efficacy, self-confidence, and self-esteem [6], [7]. This claim has direct empirical support: an employability module built on </w:t>
      </w:r>
      <w:proofErr w:type="spellStart"/>
      <w:r>
        <w:t>CareerEDGE</w:t>
      </w:r>
      <w:proofErr w:type="spellEnd"/>
      <w:r>
        <w:t xml:space="preserve"> produced a significant increase in students’ employability development scores with a large effect size, and most participants passed employer-led mock interviews [8]. Social Cognitive Career Theory supplies the psychological foundation for all three models, showing that self-efficacy beliefs and outcome expectations drive career interest and persistence, and that mastery experiences — such as work-based learning and mock interviews — are the strongest sources of self-efficacy [9].</w:t>
      </w:r>
    </w:p>
    <w:p w14:paraId="4AD621C1" w14:textId="77777777" w:rsidR="006D6679" w:rsidRDefault="00000000">
      <w:pPr>
        <w:spacing w:after="120" w:line="360" w:lineRule="auto"/>
        <w:jc w:val="both"/>
      </w:pPr>
      <w:r>
        <w:t xml:space="preserve">Despite their different emphases, the frameworks converge on one implication for this study: the test of a support service is not whether it exists but whether it builds students’ confidence and self-efficacy for the internship search. This is why perceived internship readiness — a self-efficacy-style construct drawn from </w:t>
      </w:r>
      <w:proofErr w:type="spellStart"/>
      <w:r>
        <w:t>CareerEDGE</w:t>
      </w:r>
      <w:proofErr w:type="spellEnd"/>
      <w:r>
        <w:t xml:space="preserve"> — serves as the primary outcome variable here, and why the hypothesis predicts higher readiness among service users specifically.</w:t>
      </w:r>
    </w:p>
    <w:p w14:paraId="13D9C368" w14:textId="77777777" w:rsidR="006D6679" w:rsidRDefault="00000000">
      <w:pPr>
        <w:pStyle w:val="Heading2"/>
        <w:spacing w:before="220" w:after="120" w:line="360" w:lineRule="auto"/>
      </w:pPr>
      <w:bookmarkStart w:id="7" w:name="_Toc234495270"/>
      <w:r>
        <w:rPr>
          <w:b/>
          <w:bCs/>
          <w:color w:val="000000"/>
          <w:sz w:val="24"/>
          <w:szCs w:val="24"/>
        </w:rPr>
        <w:t>2.2 The value of internships and work-integrated learning</w:t>
      </w:r>
      <w:bookmarkEnd w:id="7"/>
    </w:p>
    <w:p w14:paraId="242A1B8A" w14:textId="77777777" w:rsidR="006D6679" w:rsidRDefault="00000000">
      <w:pPr>
        <w:spacing w:after="120" w:line="360" w:lineRule="auto"/>
        <w:jc w:val="both"/>
      </w:pPr>
      <w:r>
        <w:t xml:space="preserve">If self-efficacy is the mechanism, internships are the strongest lever universities have for activating it. Gault, Redington and Schlager’s frequently cited study of business undergraduates found that internship completers enjoyed higher starting salaries, shorter job searches, and greater long-term job satisfaction [10], and professional bodies have since </w:t>
      </w:r>
      <w:proofErr w:type="spellStart"/>
      <w:r>
        <w:t>standardised</w:t>
      </w:r>
      <w:proofErr w:type="spellEnd"/>
      <w:r>
        <w:t xml:space="preserve"> the target: NACE defines career readiness through eight core competencies, including communication, critical thinking, professionalism, and technology [11]. Jackson’s survey of 131 undergraduates on work placements complicates this optimistic picture in an important way: when students underperform during placements, the cause is rarely the student, but rather poor placement design — unclear tasks, weak supervision, and inadequate integration between coursework and workplace demands [12]. Read together, these studies imply that the payoff documented by Gault and colleagues is conditional on the quality of the surrounding support structure, which is precisely what this study evaluates at KIU. Jackson’s work is methodologically valuable for shifting attention from </w:t>
      </w:r>
      <w:r>
        <w:lastRenderedPageBreak/>
        <w:t>outcomes to process, but like most research in this area it relies on self-reported data from a single institution — a limitation this study shares and acknowledges.</w:t>
      </w:r>
    </w:p>
    <w:p w14:paraId="7E6F3DCB" w14:textId="77777777" w:rsidR="006D6679" w:rsidRDefault="00000000">
      <w:pPr>
        <w:pStyle w:val="Heading2"/>
        <w:spacing w:before="220" w:after="120" w:line="360" w:lineRule="auto"/>
      </w:pPr>
      <w:bookmarkStart w:id="8" w:name="_Toc234495271"/>
      <w:r>
        <w:rPr>
          <w:b/>
          <w:bCs/>
          <w:color w:val="000000"/>
          <w:sz w:val="24"/>
          <w:szCs w:val="24"/>
        </w:rPr>
        <w:t>2.3 Unequal access: the “thwarted intern”</w:t>
      </w:r>
      <w:bookmarkEnd w:id="8"/>
    </w:p>
    <w:p w14:paraId="0CA28B96" w14:textId="77777777" w:rsidR="006D6679" w:rsidRDefault="00000000">
      <w:pPr>
        <w:spacing w:after="120" w:line="360" w:lineRule="auto"/>
        <w:jc w:val="both"/>
      </w:pPr>
      <w:r>
        <w:t xml:space="preserve">The benefits above are unevenly distributed. Hora and colleagues coined the term “thwarted intern” for students who want an internship but are blocked by structural obstacles; across their multi-institutional surveys, 64% of students without internships had wanted one [13]. The barriers they document — unpaid roles, time poverty from combining work and heavy course loads, geographic concentration of opportunities, and unequal social capital — frame non-participation as a structural problem rather than an individual failing. A 2025 UK study (N = 152) tested this quantitatively and found a nuanced result: students from higher socioeconomic backgrounds did perceive themselves as more employable, largely through pre-existing social capital, but internships raised perceived employability across all social classes by expanding students’ networks [14]. The two research </w:t>
      </w:r>
      <w:proofErr w:type="spellStart"/>
      <w:r>
        <w:t>programmes</w:t>
      </w:r>
      <w:proofErr w:type="spellEnd"/>
      <w:r>
        <w:t xml:space="preserve"> agree that access, not motivation, is the bottleneck, and they disagree only on emphasis: Hora et al. stress who gets excluded, while the UK study stresses that inclusion pays off for everyone. Both points matter for KIU — the first predicts that many students who want internships will report barriers, and the second supports the hypothesis tested here that engagement with internship-related support is associated with higher perceived readiness. Methodologically, the UK study’s validated scales and mediation analysis are a strength, though its modest convenience sample mirrors the constraints of most student research, including this project.</w:t>
      </w:r>
    </w:p>
    <w:p w14:paraId="52D1B044" w14:textId="77777777" w:rsidR="006D6679" w:rsidRDefault="00000000">
      <w:pPr>
        <w:pStyle w:val="Heading2"/>
        <w:spacing w:before="220" w:after="120" w:line="360" w:lineRule="auto"/>
      </w:pPr>
      <w:bookmarkStart w:id="9" w:name="_Toc234495272"/>
      <w:r>
        <w:rPr>
          <w:b/>
          <w:bCs/>
          <w:color w:val="000000"/>
          <w:sz w:val="24"/>
          <w:szCs w:val="24"/>
        </w:rPr>
        <w:t>2.4 Evaluating university career services</w:t>
      </w:r>
      <w:bookmarkEnd w:id="9"/>
    </w:p>
    <w:p w14:paraId="5163F213" w14:textId="77777777" w:rsidR="006D6679" w:rsidRDefault="00000000">
      <w:pPr>
        <w:spacing w:after="120" w:line="360" w:lineRule="auto"/>
        <w:jc w:val="both"/>
      </w:pPr>
      <w:r>
        <w:t xml:space="preserve">When researchers evaluate career services directly, the same paradox recurs across very different contexts. UK Office for Students data show that although 88% of graduates felt their university helped prepare them for life after graduation, only 33% ever used the </w:t>
      </w:r>
      <w:proofErr w:type="spellStart"/>
      <w:r>
        <w:t>centralised</w:t>
      </w:r>
      <w:proofErr w:type="spellEnd"/>
      <w:r>
        <w:t xml:space="preserve"> careers service [2] — a “satisfaction–</w:t>
      </w:r>
      <w:proofErr w:type="spellStart"/>
      <w:r>
        <w:t>utilisation</w:t>
      </w:r>
      <w:proofErr w:type="spellEnd"/>
      <w:r>
        <w:t xml:space="preserve"> paradox” in which broad goodwill coexists with low engagement. Studies disagree, however, on what students find lacking once they do engage. A US study of 372 business undergraduates found students satisfied with transactional coaching (CVs, interviews) but critical of staff who lacked industry-specific knowledge and support for underrepresented groups [3]. In contrast, a large Chinese study (N = 1,328) found perceived usefulness strongly predicted satisfaction, with adviser expertise and targeted career-planning guidance as the top drivers [15], and a service-quality study of 300 students similarly identified reliability and empathy as the strongest satisfaction predictors while career guidance availability performed weakest [16]. </w:t>
      </w:r>
      <w:r>
        <w:lastRenderedPageBreak/>
        <w:t xml:space="preserve">The pattern across these settings is that transactional help is usually the strength and </w:t>
      </w:r>
      <w:proofErr w:type="spellStart"/>
      <w:r>
        <w:t>personalised</w:t>
      </w:r>
      <w:proofErr w:type="spellEnd"/>
      <w:r>
        <w:t xml:space="preserve">, expert guidance the weakness — a pattern whose applicability to KIU is examined in this study. Recent trend reports add a temporal dimension: today’s students delay career planning and then expect fast, digital-first, </w:t>
      </w:r>
      <w:proofErr w:type="spellStart"/>
      <w:r>
        <w:t>personalised</w:t>
      </w:r>
      <w:proofErr w:type="spellEnd"/>
      <w:r>
        <w:t xml:space="preserve"> support when they finally engage [17]. These studies vary considerably in </w:t>
      </w:r>
      <w:proofErr w:type="spellStart"/>
      <w:r>
        <w:t>rigour</w:t>
      </w:r>
      <w:proofErr w:type="spellEnd"/>
      <w:r>
        <w:t xml:space="preserve"> — several rely on convenience samples and unvalidated instruments, and the trend report is industry rather than peer-reviewed literature — but their agreement on low </w:t>
      </w:r>
      <w:proofErr w:type="spellStart"/>
      <w:r>
        <w:t>utilisation</w:t>
      </w:r>
      <w:proofErr w:type="spellEnd"/>
      <w:r>
        <w:t xml:space="preserve"> is difficult to dismiss precisely because it survives such different methods and settings.</w:t>
      </w:r>
    </w:p>
    <w:p w14:paraId="024AA6C9" w14:textId="77777777" w:rsidR="006D6679" w:rsidRDefault="00000000">
      <w:pPr>
        <w:pStyle w:val="Heading2"/>
        <w:spacing w:before="220" w:after="120" w:line="360" w:lineRule="auto"/>
      </w:pPr>
      <w:bookmarkStart w:id="10" w:name="_Toc234495273"/>
      <w:r>
        <w:rPr>
          <w:b/>
          <w:bCs/>
          <w:color w:val="000000"/>
          <w:sz w:val="24"/>
          <w:szCs w:val="24"/>
        </w:rPr>
        <w:t>2.5 Research gap</w:t>
      </w:r>
      <w:bookmarkEnd w:id="10"/>
    </w:p>
    <w:p w14:paraId="04ED255F" w14:textId="77777777" w:rsidR="006D6679" w:rsidRDefault="00000000">
      <w:pPr>
        <w:spacing w:after="120" w:line="360" w:lineRule="auto"/>
        <w:jc w:val="both"/>
      </w:pPr>
      <w:r>
        <w:t xml:space="preserve">Taken together, the literature establishes three things: internships build employability through self-efficacy, awareness and access are the main bottlenecks to participation, and career services are chronically underused even where they are valued. What it does not establish is whether these patterns hold at small, young, non-Western institutions: virtually all of the evidence above comes from large universities in the UK, US, Australia, and China. No published evidence examines how students at KIU — a small Georgian university with recently established </w:t>
      </w:r>
      <w:proofErr w:type="spellStart"/>
      <w:r>
        <w:t>programmes</w:t>
      </w:r>
      <w:proofErr w:type="spellEnd"/>
      <w:r>
        <w:t xml:space="preserve"> — perceive its internship support. It is therefore unknown whether the satisfaction–</w:t>
      </w:r>
      <w:proofErr w:type="spellStart"/>
      <w:r>
        <w:t>utilisation</w:t>
      </w:r>
      <w:proofErr w:type="spellEnd"/>
      <w:r>
        <w:t xml:space="preserve"> paradox replicates at KIU, which specific services students consider weak, or whether using KIU’s services is associated with higher internship readiness. This study addresses that gap with a quantitative survey of KIU undergraduates, testing whether service users report significantly higher perceived internship readiness than non-users.</w:t>
      </w:r>
    </w:p>
    <w:p w14:paraId="18BF5168" w14:textId="77777777" w:rsidR="006D6679" w:rsidRDefault="00000000">
      <w:pPr>
        <w:pStyle w:val="Heading1"/>
        <w:spacing w:before="280" w:after="160" w:line="360" w:lineRule="auto"/>
      </w:pPr>
      <w:bookmarkStart w:id="11" w:name="_Toc234495274"/>
      <w:r>
        <w:rPr>
          <w:b/>
          <w:bCs/>
          <w:color w:val="000000"/>
          <w:sz w:val="28"/>
          <w:szCs w:val="28"/>
        </w:rPr>
        <w:t>3. Methodology</w:t>
      </w:r>
      <w:bookmarkEnd w:id="11"/>
    </w:p>
    <w:p w14:paraId="7EA2CD79" w14:textId="77777777" w:rsidR="006D6679" w:rsidRDefault="00000000">
      <w:pPr>
        <w:pStyle w:val="Heading2"/>
        <w:spacing w:before="220" w:after="120" w:line="360" w:lineRule="auto"/>
      </w:pPr>
      <w:bookmarkStart w:id="12" w:name="_Toc234495275"/>
      <w:r>
        <w:rPr>
          <w:b/>
          <w:bCs/>
          <w:color w:val="000000"/>
          <w:sz w:val="24"/>
          <w:szCs w:val="24"/>
        </w:rPr>
        <w:t>3.1 Research design</w:t>
      </w:r>
      <w:bookmarkEnd w:id="12"/>
    </w:p>
    <w:p w14:paraId="46B18F95" w14:textId="77777777" w:rsidR="006D6679" w:rsidRDefault="00000000">
      <w:pPr>
        <w:spacing w:after="120" w:line="360" w:lineRule="auto"/>
        <w:jc w:val="both"/>
      </w:pPr>
      <w:r>
        <w:t>This study uses a quantitative, cross-sectional survey design supplemented by a small number of open-ended items. It captures KIU undergraduate students’ perceptions of internship support services at a single point in time, covering awareness, usage, service satisfaction (among users), perceived internship readiness, reasons for non-use, and priority areas for improvement. This design fits the research question because it allows comparison between students who have and have not used support services without requiring longitudinal tracking, which was not feasible within the course timeline. The open-ended items provide qualitative context that helps interpret the quantitative patterns, in line with the pragmatic-versus-holistic satisfaction divide reported in the career-services literature [3].</w:t>
      </w:r>
    </w:p>
    <w:p w14:paraId="24DE29A9" w14:textId="77777777" w:rsidR="006D6679" w:rsidRDefault="00000000">
      <w:pPr>
        <w:pStyle w:val="Heading2"/>
        <w:spacing w:before="220" w:after="120" w:line="360" w:lineRule="auto"/>
      </w:pPr>
      <w:bookmarkStart w:id="13" w:name="_Toc234495276"/>
      <w:r>
        <w:rPr>
          <w:b/>
          <w:bCs/>
          <w:color w:val="000000"/>
          <w:sz w:val="24"/>
          <w:szCs w:val="24"/>
        </w:rPr>
        <w:t>3.2 Participants and sampling</w:t>
      </w:r>
      <w:bookmarkEnd w:id="13"/>
    </w:p>
    <w:p w14:paraId="79F10CC3" w14:textId="77777777" w:rsidR="006D6679" w:rsidRDefault="00000000">
      <w:pPr>
        <w:spacing w:after="120" w:line="360" w:lineRule="auto"/>
        <w:jc w:val="both"/>
      </w:pPr>
      <w:r>
        <w:lastRenderedPageBreak/>
        <w:t>The target population is KIU undergraduate students in the Computer Science, Management, and Mathematics schools, from 2nd through 4th year. First-year students were excluded, since they are unlikely to have engaged meaningfully with internship search or support services at this stage of their studies. Students from other, newly introduced KIU majors were also excluded, as these programs are too recently established to have sufficient institutional information on their internship support provisions.</w:t>
      </w:r>
    </w:p>
    <w:p w14:paraId="2F8382E9" w14:textId="77777777" w:rsidR="006D6679" w:rsidRDefault="00000000">
      <w:pPr>
        <w:spacing w:after="120" w:line="360" w:lineRule="auto"/>
        <w:jc w:val="both"/>
      </w:pPr>
      <w:r>
        <w:t>The accessible population consists of KIU undergraduates reachable through class groups, student association channels, academic networks, and instructor-approved announcements. A convenience sampling method was used, chosen for practicality given the course project’s limited timeframe. Because this is a non-probability method, the findings are reported as descriptive of the surveyed sample rather than as statistically representative of the full KIU student body. The team set a minimum target of 40 responses, 70 as the preferred target, and 150 or more as a stretch goal enabling subgroup comparisons.</w:t>
      </w:r>
    </w:p>
    <w:p w14:paraId="6341F80A" w14:textId="77777777" w:rsidR="006D6679" w:rsidRDefault="00000000">
      <w:pPr>
        <w:spacing w:after="120" w:line="360" w:lineRule="auto"/>
        <w:jc w:val="both"/>
      </w:pPr>
      <w:r>
        <w:t>Inclusion criteria were: current KIU undergraduate status (2nd–4th year, in Computer Science, Management, or Mathematics), voluntary participation, and completion of the consent item. Exclusion criteria were: non-consent, non-KIU-undergraduate status, first-year enrolment, enrolment in a major outside the three target schools, largely incomplete responses, duplicate or clearly unserious responses, and open-ended answers containing identifiers that could not be safely anonymized.</w:t>
      </w:r>
    </w:p>
    <w:p w14:paraId="74D577D6" w14:textId="77777777" w:rsidR="006D6679" w:rsidRDefault="00000000">
      <w:pPr>
        <w:pStyle w:val="Heading2"/>
        <w:spacing w:before="220" w:after="120" w:line="360" w:lineRule="auto"/>
      </w:pPr>
      <w:bookmarkStart w:id="14" w:name="_Toc234495277"/>
      <w:r>
        <w:rPr>
          <w:b/>
          <w:bCs/>
          <w:color w:val="000000"/>
          <w:sz w:val="24"/>
          <w:szCs w:val="24"/>
        </w:rPr>
        <w:t>3.3 Data collection instrument</w:t>
      </w:r>
      <w:bookmarkEnd w:id="14"/>
    </w:p>
    <w:p w14:paraId="3C6355A3" w14:textId="77777777" w:rsidR="006D6679" w:rsidRDefault="00000000">
      <w:pPr>
        <w:spacing w:after="120" w:line="360" w:lineRule="auto"/>
        <w:jc w:val="both"/>
      </w:pPr>
      <w:r>
        <w:t xml:space="preserve">Data was collected using a custom, self-administered questionnaire (Appendix A), estimated at 5–7 minutes to complete. Since no existing validated scale fit KIU’s specific internship-support context, the team developed the instrument itself, drawing on constructs from the literature review. The readiness items were shaped by the self-efficacy and confidence dimensions central to the </w:t>
      </w:r>
      <w:proofErr w:type="spellStart"/>
      <w:r>
        <w:t>CareerEDGE</w:t>
      </w:r>
      <w:proofErr w:type="spellEnd"/>
      <w:r>
        <w:t xml:space="preserve"> model [6], while the service-evaluation items were built around service-quality dimensions such as reliability, accessibility, and personalized guidance — factors that prior career-services research consistently identifies as key drivers of student satisfaction [15], [16].</w:t>
      </w:r>
    </w:p>
    <w:p w14:paraId="49D922A9" w14:textId="77777777" w:rsidR="006D6679" w:rsidRDefault="00000000">
      <w:pPr>
        <w:spacing w:after="120" w:line="360" w:lineRule="auto"/>
        <w:jc w:val="both"/>
      </w:pPr>
      <w:r>
        <w:t xml:space="preserve">The survey begins with a required consent question. Students who do not consent are sent directly to a thank-you screen and exit the form. From there, it moves into academic background (year of study and school) and internship search and completion history, followed by a single awareness item and a yes/no usage question that splits the remainder of the survey into two paths. Students who had used support services went on to rate nine service-evaluation dimensions and indicate </w:t>
      </w:r>
      <w:r>
        <w:lastRenderedPageBreak/>
        <w:t>which specific services they had used, while those who had not answered a single question about their main reason for non-use. All consenting respondents then answered four internship-readiness items, selected their top improvement priority, and had the option to answer two open-ended questions. Every Likert-style item used the same 1 (“Strongly disagree”) to 5 (“Strongly agree”) scale.</w:t>
      </w:r>
    </w:p>
    <w:p w14:paraId="2A137C12" w14:textId="77777777" w:rsidR="006D6679" w:rsidRDefault="00000000">
      <w:pPr>
        <w:pStyle w:val="Heading2"/>
        <w:spacing w:before="220" w:after="120" w:line="360" w:lineRule="auto"/>
      </w:pPr>
      <w:bookmarkStart w:id="15" w:name="_Toc234495278"/>
      <w:r>
        <w:rPr>
          <w:b/>
          <w:bCs/>
          <w:color w:val="000000"/>
          <w:sz w:val="24"/>
          <w:szCs w:val="24"/>
        </w:rPr>
        <w:t>3.4 Variables</w:t>
      </w:r>
      <w:bookmarkEnd w:id="15"/>
    </w:p>
    <w:p w14:paraId="488B8DBD" w14:textId="77777777" w:rsidR="006D6679" w:rsidRDefault="00000000">
      <w:pPr>
        <w:spacing w:after="120" w:line="360" w:lineRule="auto"/>
        <w:jc w:val="both"/>
      </w:pPr>
      <w:r>
        <w:t>The survey measures variables across four domains: demographic and academic background, awareness and usage, service evaluation (users only), and internship readiness (all respondents). Two composite scores were computed. The satisfaction score is the mean of eight service-evaluation items (users only), and the readiness score is the mean of four confidence items (all respondents). The readiness score serves as the study’s primary outcome variable and the basis for comparing users and non-users. One additional item, on whether KIU support improved the respondent’s readiness, was deliberately kept separate from the readiness score, because it measures perceived attribution of benefit to KIU services specifically rather than a general level of readiness. Full item wording is provided in Appendix A.</w:t>
      </w:r>
    </w:p>
    <w:p w14:paraId="2CC96547" w14:textId="77777777" w:rsidR="006D6679" w:rsidRDefault="00000000">
      <w:pPr>
        <w:pStyle w:val="Heading2"/>
        <w:spacing w:before="220" w:after="120" w:line="360" w:lineRule="auto"/>
      </w:pPr>
      <w:bookmarkStart w:id="16" w:name="_Toc234495279"/>
      <w:r>
        <w:rPr>
          <w:b/>
          <w:bCs/>
          <w:color w:val="000000"/>
          <w:sz w:val="24"/>
          <w:szCs w:val="24"/>
        </w:rPr>
        <w:t>3.5 Procedure</w:t>
      </w:r>
      <w:bookmarkEnd w:id="16"/>
    </w:p>
    <w:p w14:paraId="453F118F" w14:textId="77777777" w:rsidR="006D6679" w:rsidRDefault="00000000">
      <w:pPr>
        <w:spacing w:after="120" w:line="360" w:lineRule="auto"/>
        <w:jc w:val="both"/>
      </w:pPr>
      <w:r>
        <w:t xml:space="preserve">The questionnaire was built and distributed through Google Forms. Before full distribution, it was pilot-tested with two students to check that the wording, response options, and branching logic were clear and functioned correctly; no substantive issues were raised, and the pilot responses were collected separately and are not part of the </w:t>
      </w:r>
      <w:proofErr w:type="spellStart"/>
      <w:r>
        <w:t>analysed</w:t>
      </w:r>
      <w:proofErr w:type="spellEnd"/>
      <w:r>
        <w:t xml:space="preserve"> data. The final form link was then shared through KIU class group chats, student association channels, and academic networks over an eleven-day collection window from 28 June to 8 July 2026. A single official form link was used throughout, and Google Forms was configured to accept only one response per account, which prevented duplicate submissions at the point of collection. No identifying information, including email addresses, was recorded in the exported data. Responses were logged automatically to a linked Google Sheet, exported to CSV, and screened for completeness and duplication before analysis; no duplicate or incomplete records were found.</w:t>
      </w:r>
    </w:p>
    <w:p w14:paraId="1F9180B4" w14:textId="77777777" w:rsidR="006D6679" w:rsidRDefault="00000000">
      <w:pPr>
        <w:pStyle w:val="Heading2"/>
        <w:spacing w:before="220" w:after="120" w:line="360" w:lineRule="auto"/>
      </w:pPr>
      <w:bookmarkStart w:id="17" w:name="_Toc234495280"/>
      <w:r>
        <w:rPr>
          <w:b/>
          <w:bCs/>
          <w:color w:val="000000"/>
          <w:sz w:val="24"/>
          <w:szCs w:val="24"/>
        </w:rPr>
        <w:t>3.6 Data analysis plan</w:t>
      </w:r>
      <w:bookmarkEnd w:id="17"/>
    </w:p>
    <w:p w14:paraId="2C03467E" w14:textId="77777777" w:rsidR="006D6679" w:rsidRDefault="00000000">
      <w:pPr>
        <w:spacing w:after="120" w:line="360" w:lineRule="auto"/>
        <w:jc w:val="both"/>
      </w:pPr>
      <w:r>
        <w:t xml:space="preserve">Analysis was conducted in Python, using pandas for data handling, SciPy for the normality and correlation tests, and Matplotlib for figures; the Welch t-test statistic, degrees of freedom, confidence interval, Cohen’s d, and Cronbach’s alpha were computed directly from their formulas </w:t>
      </w:r>
      <w:r>
        <w:lastRenderedPageBreak/>
        <w:t>within the analysis script. Descriptive statistics — frequencies, percentages, means, and standard deviations — were computed for all variables. Cronbach’s alpha was calculated for the satisfaction and readiness composite scores. Open-ended responses were thematically coded, with similar comments grouped into broader categories rather than reported individually.</w:t>
      </w:r>
    </w:p>
    <w:p w14:paraId="14B42618" w14:textId="77777777" w:rsidR="006D6679" w:rsidRDefault="00000000">
      <w:pPr>
        <w:spacing w:after="120" w:line="360" w:lineRule="auto"/>
        <w:jc w:val="both"/>
      </w:pPr>
      <w:r>
        <w:t>For the inferential analysis, a Welch independent-samples t-test compared mean readiness scores between students who had used support services and those who had not, reported with group means, the mean difference, the p-value, a 95% confidence interval, and Cohen’s d. Welch’s version of the t-test was chosen because it does not assume equal group sizes or equal variances, both of which were expected given the likely imbalance between users and non-users. Normality of the readiness score was checked with the Shapiro–Wilk test before running the parametric analyses, with the Mann–Whitney U test held as a non-parametric fallback in case of violation. Because the design is cross-sectional, the result is interpreted as an association rather than as evidence of a causal effect of support services on readiness. Pearson correlation, with Spearman’s rank correlation as a robustness check, was used to explore the relationships between awareness and readiness, and between year of study and readiness.</w:t>
      </w:r>
    </w:p>
    <w:p w14:paraId="5E2623C9" w14:textId="77777777" w:rsidR="006D6679" w:rsidRDefault="00000000">
      <w:pPr>
        <w:pStyle w:val="Heading2"/>
        <w:spacing w:before="220" w:after="120" w:line="360" w:lineRule="auto"/>
      </w:pPr>
      <w:bookmarkStart w:id="18" w:name="_Toc234495281"/>
      <w:r>
        <w:rPr>
          <w:b/>
          <w:bCs/>
          <w:color w:val="000000"/>
          <w:sz w:val="24"/>
          <w:szCs w:val="24"/>
        </w:rPr>
        <w:t>3.7 Ethical considerations</w:t>
      </w:r>
      <w:bookmarkEnd w:id="18"/>
    </w:p>
    <w:p w14:paraId="7837B147" w14:textId="77777777" w:rsidR="006D6679" w:rsidRDefault="00000000">
      <w:pPr>
        <w:spacing w:after="120" w:line="360" w:lineRule="auto"/>
        <w:jc w:val="both"/>
      </w:pPr>
      <w:r>
        <w:t>Participation was entirely voluntary, and students could withdraw at any point before submitting their response. No direct identifiers — names, student IDs, email addresses, or phone numbers — were collected. The consent screen explained the study’s purpose, confirmed that participation was optional, and gave an estimated completion time. All responses were stored in a Google Drive folder accessible only to the team, and if the project repository is later made public, it will contain only anonymized or dummy data. Before reporting, open-ended answers were checked for any accidental identifiers, which were removed. All findings are presented in aggregate, small subgroups are reported with caution, and no response is quoted in a way that could identify the student who wrote it.</w:t>
      </w:r>
    </w:p>
    <w:p w14:paraId="0B98FA24" w14:textId="77777777" w:rsidR="006D6679" w:rsidRDefault="00000000">
      <w:pPr>
        <w:pStyle w:val="Heading1"/>
        <w:spacing w:before="280" w:after="160" w:line="360" w:lineRule="auto"/>
      </w:pPr>
      <w:bookmarkStart w:id="19" w:name="_Toc234495282"/>
      <w:r>
        <w:rPr>
          <w:b/>
          <w:bCs/>
          <w:color w:val="000000"/>
          <w:sz w:val="28"/>
          <w:szCs w:val="28"/>
        </w:rPr>
        <w:t>4. Results</w:t>
      </w:r>
      <w:bookmarkEnd w:id="19"/>
    </w:p>
    <w:p w14:paraId="06C0E89C" w14:textId="77777777" w:rsidR="006D6679" w:rsidRDefault="00000000">
      <w:pPr>
        <w:pStyle w:val="Heading2"/>
        <w:spacing w:before="220" w:after="120" w:line="360" w:lineRule="auto"/>
      </w:pPr>
      <w:bookmarkStart w:id="20" w:name="_Toc234495283"/>
      <w:r>
        <w:rPr>
          <w:b/>
          <w:bCs/>
          <w:color w:val="000000"/>
          <w:sz w:val="24"/>
          <w:szCs w:val="24"/>
        </w:rPr>
        <w:t>4.1 Sample characteristics</w:t>
      </w:r>
      <w:bookmarkEnd w:id="20"/>
    </w:p>
    <w:p w14:paraId="31A85E9F" w14:textId="77777777" w:rsidR="006D6679" w:rsidRDefault="00000000">
      <w:pPr>
        <w:spacing w:after="120" w:line="360" w:lineRule="auto"/>
        <w:jc w:val="both"/>
      </w:pPr>
      <w:r>
        <w:t xml:space="preserve">The survey collected 122 responses between 28 June and 8 July 2026. All 122 respondents consented, fell within the target years and schools, and completed every required item, so no responses were excluded and the final analytic sample is N = 122. Table 1 </w:t>
      </w:r>
      <w:proofErr w:type="spellStart"/>
      <w:r>
        <w:t>summarises</w:t>
      </w:r>
      <w:proofErr w:type="spellEnd"/>
      <w:r>
        <w:t xml:space="preserve"> the sample. Most respondents were 3rd-year students (68.0%) and enrolled in Computer Science (62.3%). A </w:t>
      </w:r>
      <w:r>
        <w:lastRenderedPageBreak/>
        <w:t>large majority (78.7%) had searched for an internship during their studies, while 33.6% had completed one.</w:t>
      </w:r>
    </w:p>
    <w:p w14:paraId="2342CB36" w14:textId="77777777" w:rsidR="006D6679" w:rsidRDefault="00000000">
      <w:pPr>
        <w:spacing w:before="120" w:after="120" w:line="360" w:lineRule="auto"/>
      </w:pPr>
      <w:r>
        <w:rPr>
          <w:b/>
          <w:bCs/>
          <w:sz w:val="22"/>
          <w:szCs w:val="22"/>
        </w:rPr>
        <w:t>Table 1. Sample characteristics (N = 122)</w:t>
      </w:r>
    </w:p>
    <w:tbl>
      <w:tblPr>
        <w:tblW w:w="7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2200"/>
        <w:gridCol w:w="1600"/>
      </w:tblGrid>
      <w:tr w:rsidR="006D6679" w14:paraId="16E7CC1A" w14:textId="77777777">
        <w:tblPrEx>
          <w:tblCellMar>
            <w:top w:w="0" w:type="dxa"/>
            <w:bottom w:w="0" w:type="dxa"/>
          </w:tblCellMar>
        </w:tblPrEx>
        <w:tc>
          <w:tcPr>
            <w:tcW w:w="3600" w:type="dxa"/>
            <w:shd w:val="clear" w:color="auto" w:fill="E7E6E6"/>
          </w:tcPr>
          <w:p w14:paraId="547A9B1A" w14:textId="77777777" w:rsidR="006D6679" w:rsidRDefault="00000000">
            <w:pPr>
              <w:spacing w:before="20" w:after="20" w:line="276" w:lineRule="auto"/>
            </w:pPr>
            <w:r>
              <w:rPr>
                <w:b/>
                <w:bCs/>
                <w:sz w:val="22"/>
                <w:szCs w:val="22"/>
              </w:rPr>
              <w:t>Characteristic</w:t>
            </w:r>
          </w:p>
        </w:tc>
        <w:tc>
          <w:tcPr>
            <w:tcW w:w="2200" w:type="dxa"/>
            <w:shd w:val="clear" w:color="auto" w:fill="E7E6E6"/>
          </w:tcPr>
          <w:p w14:paraId="7E9D0F08" w14:textId="77777777" w:rsidR="006D6679" w:rsidRDefault="00000000">
            <w:pPr>
              <w:spacing w:before="20" w:after="20" w:line="276" w:lineRule="auto"/>
            </w:pPr>
            <w:r>
              <w:rPr>
                <w:b/>
                <w:bCs/>
                <w:sz w:val="22"/>
                <w:szCs w:val="22"/>
              </w:rPr>
              <w:t>n</w:t>
            </w:r>
          </w:p>
        </w:tc>
        <w:tc>
          <w:tcPr>
            <w:tcW w:w="1600" w:type="dxa"/>
            <w:shd w:val="clear" w:color="auto" w:fill="E7E6E6"/>
          </w:tcPr>
          <w:p w14:paraId="6A5696E5" w14:textId="77777777" w:rsidR="006D6679" w:rsidRDefault="00000000">
            <w:pPr>
              <w:spacing w:before="20" w:after="20" w:line="276" w:lineRule="auto"/>
            </w:pPr>
            <w:r>
              <w:rPr>
                <w:b/>
                <w:bCs/>
                <w:sz w:val="22"/>
                <w:szCs w:val="22"/>
              </w:rPr>
              <w:t>%</w:t>
            </w:r>
          </w:p>
        </w:tc>
      </w:tr>
      <w:tr w:rsidR="006D6679" w14:paraId="0B813EEC" w14:textId="77777777">
        <w:tblPrEx>
          <w:tblCellMar>
            <w:top w:w="0" w:type="dxa"/>
            <w:bottom w:w="0" w:type="dxa"/>
          </w:tblCellMar>
        </w:tblPrEx>
        <w:tc>
          <w:tcPr>
            <w:tcW w:w="3600" w:type="dxa"/>
          </w:tcPr>
          <w:p w14:paraId="558DAD0D" w14:textId="77777777" w:rsidR="006D6679" w:rsidRDefault="00000000">
            <w:pPr>
              <w:spacing w:before="20" w:after="20" w:line="276" w:lineRule="auto"/>
            </w:pPr>
            <w:r>
              <w:rPr>
                <w:sz w:val="22"/>
                <w:szCs w:val="22"/>
              </w:rPr>
              <w:t>Year of study: 2nd year</w:t>
            </w:r>
          </w:p>
        </w:tc>
        <w:tc>
          <w:tcPr>
            <w:tcW w:w="2200" w:type="dxa"/>
          </w:tcPr>
          <w:p w14:paraId="3734C0FC" w14:textId="77777777" w:rsidR="006D6679" w:rsidRDefault="00000000">
            <w:pPr>
              <w:spacing w:before="20" w:after="20" w:line="276" w:lineRule="auto"/>
            </w:pPr>
            <w:r>
              <w:rPr>
                <w:sz w:val="22"/>
                <w:szCs w:val="22"/>
              </w:rPr>
              <w:t>18</w:t>
            </w:r>
          </w:p>
        </w:tc>
        <w:tc>
          <w:tcPr>
            <w:tcW w:w="1600" w:type="dxa"/>
          </w:tcPr>
          <w:p w14:paraId="7DDC67A6" w14:textId="77777777" w:rsidR="006D6679" w:rsidRDefault="00000000">
            <w:pPr>
              <w:spacing w:before="20" w:after="20" w:line="276" w:lineRule="auto"/>
            </w:pPr>
            <w:r>
              <w:rPr>
                <w:sz w:val="22"/>
                <w:szCs w:val="22"/>
              </w:rPr>
              <w:t>14.8</w:t>
            </w:r>
          </w:p>
        </w:tc>
      </w:tr>
      <w:tr w:rsidR="006D6679" w14:paraId="1548FBC9" w14:textId="77777777">
        <w:tblPrEx>
          <w:tblCellMar>
            <w:top w:w="0" w:type="dxa"/>
            <w:bottom w:w="0" w:type="dxa"/>
          </w:tblCellMar>
        </w:tblPrEx>
        <w:tc>
          <w:tcPr>
            <w:tcW w:w="3600" w:type="dxa"/>
          </w:tcPr>
          <w:p w14:paraId="7857A1B2" w14:textId="77777777" w:rsidR="006D6679" w:rsidRDefault="00000000">
            <w:pPr>
              <w:spacing w:before="20" w:after="20" w:line="276" w:lineRule="auto"/>
            </w:pPr>
            <w:r>
              <w:rPr>
                <w:sz w:val="22"/>
                <w:szCs w:val="22"/>
              </w:rPr>
              <w:t>Year of study: 3rd year</w:t>
            </w:r>
          </w:p>
        </w:tc>
        <w:tc>
          <w:tcPr>
            <w:tcW w:w="2200" w:type="dxa"/>
          </w:tcPr>
          <w:p w14:paraId="54E3322F" w14:textId="77777777" w:rsidR="006D6679" w:rsidRDefault="00000000">
            <w:pPr>
              <w:spacing w:before="20" w:after="20" w:line="276" w:lineRule="auto"/>
            </w:pPr>
            <w:r>
              <w:rPr>
                <w:sz w:val="22"/>
                <w:szCs w:val="22"/>
              </w:rPr>
              <w:t>83</w:t>
            </w:r>
          </w:p>
        </w:tc>
        <w:tc>
          <w:tcPr>
            <w:tcW w:w="1600" w:type="dxa"/>
          </w:tcPr>
          <w:p w14:paraId="2B090D1E" w14:textId="77777777" w:rsidR="006D6679" w:rsidRDefault="00000000">
            <w:pPr>
              <w:spacing w:before="20" w:after="20" w:line="276" w:lineRule="auto"/>
            </w:pPr>
            <w:r>
              <w:rPr>
                <w:sz w:val="22"/>
                <w:szCs w:val="22"/>
              </w:rPr>
              <w:t>68.0</w:t>
            </w:r>
          </w:p>
        </w:tc>
      </w:tr>
      <w:tr w:rsidR="006D6679" w14:paraId="1F2855E3" w14:textId="77777777">
        <w:tblPrEx>
          <w:tblCellMar>
            <w:top w:w="0" w:type="dxa"/>
            <w:bottom w:w="0" w:type="dxa"/>
          </w:tblCellMar>
        </w:tblPrEx>
        <w:tc>
          <w:tcPr>
            <w:tcW w:w="3600" w:type="dxa"/>
          </w:tcPr>
          <w:p w14:paraId="2BF0173A" w14:textId="77777777" w:rsidR="006D6679" w:rsidRDefault="00000000">
            <w:pPr>
              <w:spacing w:before="20" w:after="20" w:line="276" w:lineRule="auto"/>
            </w:pPr>
            <w:r>
              <w:rPr>
                <w:sz w:val="22"/>
                <w:szCs w:val="22"/>
              </w:rPr>
              <w:t>Year of study: 4th year</w:t>
            </w:r>
          </w:p>
        </w:tc>
        <w:tc>
          <w:tcPr>
            <w:tcW w:w="2200" w:type="dxa"/>
          </w:tcPr>
          <w:p w14:paraId="34B7D14E" w14:textId="77777777" w:rsidR="006D6679" w:rsidRDefault="00000000">
            <w:pPr>
              <w:spacing w:before="20" w:after="20" w:line="276" w:lineRule="auto"/>
            </w:pPr>
            <w:r>
              <w:rPr>
                <w:sz w:val="22"/>
                <w:szCs w:val="22"/>
              </w:rPr>
              <w:t>21</w:t>
            </w:r>
          </w:p>
        </w:tc>
        <w:tc>
          <w:tcPr>
            <w:tcW w:w="1600" w:type="dxa"/>
          </w:tcPr>
          <w:p w14:paraId="0AE570E2" w14:textId="77777777" w:rsidR="006D6679" w:rsidRDefault="00000000">
            <w:pPr>
              <w:spacing w:before="20" w:after="20" w:line="276" w:lineRule="auto"/>
            </w:pPr>
            <w:r>
              <w:rPr>
                <w:sz w:val="22"/>
                <w:szCs w:val="22"/>
              </w:rPr>
              <w:t>17.2</w:t>
            </w:r>
          </w:p>
        </w:tc>
      </w:tr>
      <w:tr w:rsidR="006D6679" w14:paraId="23586187" w14:textId="77777777">
        <w:tblPrEx>
          <w:tblCellMar>
            <w:top w:w="0" w:type="dxa"/>
            <w:bottom w:w="0" w:type="dxa"/>
          </w:tblCellMar>
        </w:tblPrEx>
        <w:tc>
          <w:tcPr>
            <w:tcW w:w="3600" w:type="dxa"/>
          </w:tcPr>
          <w:p w14:paraId="69739963" w14:textId="77777777" w:rsidR="006D6679" w:rsidRDefault="00000000">
            <w:pPr>
              <w:spacing w:before="20" w:after="20" w:line="276" w:lineRule="auto"/>
            </w:pPr>
            <w:r>
              <w:rPr>
                <w:sz w:val="22"/>
                <w:szCs w:val="22"/>
              </w:rPr>
              <w:t>School: Computer Science</w:t>
            </w:r>
          </w:p>
        </w:tc>
        <w:tc>
          <w:tcPr>
            <w:tcW w:w="2200" w:type="dxa"/>
          </w:tcPr>
          <w:p w14:paraId="12D06673" w14:textId="77777777" w:rsidR="006D6679" w:rsidRDefault="00000000">
            <w:pPr>
              <w:spacing w:before="20" w:after="20" w:line="276" w:lineRule="auto"/>
            </w:pPr>
            <w:r>
              <w:rPr>
                <w:sz w:val="22"/>
                <w:szCs w:val="22"/>
              </w:rPr>
              <w:t>76</w:t>
            </w:r>
          </w:p>
        </w:tc>
        <w:tc>
          <w:tcPr>
            <w:tcW w:w="1600" w:type="dxa"/>
          </w:tcPr>
          <w:p w14:paraId="5FF70A70" w14:textId="77777777" w:rsidR="006D6679" w:rsidRDefault="00000000">
            <w:pPr>
              <w:spacing w:before="20" w:after="20" w:line="276" w:lineRule="auto"/>
            </w:pPr>
            <w:r>
              <w:rPr>
                <w:sz w:val="22"/>
                <w:szCs w:val="22"/>
              </w:rPr>
              <w:t>62.3</w:t>
            </w:r>
          </w:p>
        </w:tc>
      </w:tr>
      <w:tr w:rsidR="006D6679" w14:paraId="007C25B8" w14:textId="77777777">
        <w:tblPrEx>
          <w:tblCellMar>
            <w:top w:w="0" w:type="dxa"/>
            <w:bottom w:w="0" w:type="dxa"/>
          </w:tblCellMar>
        </w:tblPrEx>
        <w:tc>
          <w:tcPr>
            <w:tcW w:w="3600" w:type="dxa"/>
          </w:tcPr>
          <w:p w14:paraId="10A22EAB" w14:textId="77777777" w:rsidR="006D6679" w:rsidRDefault="00000000">
            <w:pPr>
              <w:spacing w:before="20" w:after="20" w:line="276" w:lineRule="auto"/>
            </w:pPr>
            <w:r>
              <w:rPr>
                <w:sz w:val="22"/>
                <w:szCs w:val="22"/>
              </w:rPr>
              <w:t>School: Management</w:t>
            </w:r>
          </w:p>
        </w:tc>
        <w:tc>
          <w:tcPr>
            <w:tcW w:w="2200" w:type="dxa"/>
          </w:tcPr>
          <w:p w14:paraId="38E5198F" w14:textId="77777777" w:rsidR="006D6679" w:rsidRDefault="00000000">
            <w:pPr>
              <w:spacing w:before="20" w:after="20" w:line="276" w:lineRule="auto"/>
            </w:pPr>
            <w:r>
              <w:rPr>
                <w:sz w:val="22"/>
                <w:szCs w:val="22"/>
              </w:rPr>
              <w:t>34</w:t>
            </w:r>
          </w:p>
        </w:tc>
        <w:tc>
          <w:tcPr>
            <w:tcW w:w="1600" w:type="dxa"/>
          </w:tcPr>
          <w:p w14:paraId="481248B5" w14:textId="77777777" w:rsidR="006D6679" w:rsidRDefault="00000000">
            <w:pPr>
              <w:spacing w:before="20" w:after="20" w:line="276" w:lineRule="auto"/>
            </w:pPr>
            <w:r>
              <w:rPr>
                <w:sz w:val="22"/>
                <w:szCs w:val="22"/>
              </w:rPr>
              <w:t>27.9</w:t>
            </w:r>
          </w:p>
        </w:tc>
      </w:tr>
      <w:tr w:rsidR="006D6679" w14:paraId="2475F54D" w14:textId="77777777">
        <w:tblPrEx>
          <w:tblCellMar>
            <w:top w:w="0" w:type="dxa"/>
            <w:bottom w:w="0" w:type="dxa"/>
          </w:tblCellMar>
        </w:tblPrEx>
        <w:tc>
          <w:tcPr>
            <w:tcW w:w="3600" w:type="dxa"/>
          </w:tcPr>
          <w:p w14:paraId="35BFAEC7" w14:textId="77777777" w:rsidR="006D6679" w:rsidRDefault="00000000">
            <w:pPr>
              <w:spacing w:before="20" w:after="20" w:line="276" w:lineRule="auto"/>
            </w:pPr>
            <w:r>
              <w:rPr>
                <w:sz w:val="22"/>
                <w:szCs w:val="22"/>
              </w:rPr>
              <w:t>School: Mathematics</w:t>
            </w:r>
          </w:p>
        </w:tc>
        <w:tc>
          <w:tcPr>
            <w:tcW w:w="2200" w:type="dxa"/>
          </w:tcPr>
          <w:p w14:paraId="15A0E535" w14:textId="77777777" w:rsidR="006D6679" w:rsidRDefault="00000000">
            <w:pPr>
              <w:spacing w:before="20" w:after="20" w:line="276" w:lineRule="auto"/>
            </w:pPr>
            <w:r>
              <w:rPr>
                <w:sz w:val="22"/>
                <w:szCs w:val="22"/>
              </w:rPr>
              <w:t>12</w:t>
            </w:r>
          </w:p>
        </w:tc>
        <w:tc>
          <w:tcPr>
            <w:tcW w:w="1600" w:type="dxa"/>
          </w:tcPr>
          <w:p w14:paraId="5885EA2F" w14:textId="77777777" w:rsidR="006D6679" w:rsidRDefault="00000000">
            <w:pPr>
              <w:spacing w:before="20" w:after="20" w:line="276" w:lineRule="auto"/>
            </w:pPr>
            <w:r>
              <w:rPr>
                <w:sz w:val="22"/>
                <w:szCs w:val="22"/>
              </w:rPr>
              <w:t>9.8</w:t>
            </w:r>
          </w:p>
        </w:tc>
      </w:tr>
      <w:tr w:rsidR="006D6679" w14:paraId="0F5F8096" w14:textId="77777777">
        <w:tblPrEx>
          <w:tblCellMar>
            <w:top w:w="0" w:type="dxa"/>
            <w:bottom w:w="0" w:type="dxa"/>
          </w:tblCellMar>
        </w:tblPrEx>
        <w:tc>
          <w:tcPr>
            <w:tcW w:w="3600" w:type="dxa"/>
          </w:tcPr>
          <w:p w14:paraId="5C5057D9" w14:textId="77777777" w:rsidR="006D6679" w:rsidRDefault="00000000">
            <w:pPr>
              <w:spacing w:before="20" w:after="20" w:line="276" w:lineRule="auto"/>
            </w:pPr>
            <w:r>
              <w:rPr>
                <w:sz w:val="22"/>
                <w:szCs w:val="22"/>
              </w:rPr>
              <w:t>Searched for an internship</w:t>
            </w:r>
          </w:p>
        </w:tc>
        <w:tc>
          <w:tcPr>
            <w:tcW w:w="2200" w:type="dxa"/>
          </w:tcPr>
          <w:p w14:paraId="1147079C" w14:textId="77777777" w:rsidR="006D6679" w:rsidRDefault="00000000">
            <w:pPr>
              <w:spacing w:before="20" w:after="20" w:line="276" w:lineRule="auto"/>
            </w:pPr>
            <w:r>
              <w:rPr>
                <w:sz w:val="22"/>
                <w:szCs w:val="22"/>
              </w:rPr>
              <w:t>96</w:t>
            </w:r>
          </w:p>
        </w:tc>
        <w:tc>
          <w:tcPr>
            <w:tcW w:w="1600" w:type="dxa"/>
          </w:tcPr>
          <w:p w14:paraId="6CFBB519" w14:textId="77777777" w:rsidR="006D6679" w:rsidRDefault="00000000">
            <w:pPr>
              <w:spacing w:before="20" w:after="20" w:line="276" w:lineRule="auto"/>
            </w:pPr>
            <w:r>
              <w:rPr>
                <w:sz w:val="22"/>
                <w:szCs w:val="22"/>
              </w:rPr>
              <w:t>78.7</w:t>
            </w:r>
          </w:p>
        </w:tc>
      </w:tr>
      <w:tr w:rsidR="006D6679" w14:paraId="3D5916FA" w14:textId="77777777">
        <w:tblPrEx>
          <w:tblCellMar>
            <w:top w:w="0" w:type="dxa"/>
            <w:bottom w:w="0" w:type="dxa"/>
          </w:tblCellMar>
        </w:tblPrEx>
        <w:tc>
          <w:tcPr>
            <w:tcW w:w="3600" w:type="dxa"/>
          </w:tcPr>
          <w:p w14:paraId="5DD4C1BF" w14:textId="77777777" w:rsidR="006D6679" w:rsidRDefault="00000000">
            <w:pPr>
              <w:spacing w:before="20" w:after="20" w:line="276" w:lineRule="auto"/>
            </w:pPr>
            <w:r>
              <w:rPr>
                <w:sz w:val="22"/>
                <w:szCs w:val="22"/>
              </w:rPr>
              <w:t>Completed an internship</w:t>
            </w:r>
          </w:p>
        </w:tc>
        <w:tc>
          <w:tcPr>
            <w:tcW w:w="2200" w:type="dxa"/>
          </w:tcPr>
          <w:p w14:paraId="4619B2A0" w14:textId="77777777" w:rsidR="006D6679" w:rsidRDefault="00000000">
            <w:pPr>
              <w:spacing w:before="20" w:after="20" w:line="276" w:lineRule="auto"/>
            </w:pPr>
            <w:r>
              <w:rPr>
                <w:sz w:val="22"/>
                <w:szCs w:val="22"/>
              </w:rPr>
              <w:t>41</w:t>
            </w:r>
          </w:p>
        </w:tc>
        <w:tc>
          <w:tcPr>
            <w:tcW w:w="1600" w:type="dxa"/>
          </w:tcPr>
          <w:p w14:paraId="62E66FBA" w14:textId="77777777" w:rsidR="006D6679" w:rsidRDefault="00000000">
            <w:pPr>
              <w:spacing w:before="20" w:after="20" w:line="276" w:lineRule="auto"/>
            </w:pPr>
            <w:r>
              <w:rPr>
                <w:sz w:val="22"/>
                <w:szCs w:val="22"/>
              </w:rPr>
              <w:t>33.6</w:t>
            </w:r>
          </w:p>
        </w:tc>
      </w:tr>
      <w:tr w:rsidR="006D6679" w14:paraId="4A3C4E73" w14:textId="77777777">
        <w:tblPrEx>
          <w:tblCellMar>
            <w:top w:w="0" w:type="dxa"/>
            <w:bottom w:w="0" w:type="dxa"/>
          </w:tblCellMar>
        </w:tblPrEx>
        <w:tc>
          <w:tcPr>
            <w:tcW w:w="3600" w:type="dxa"/>
          </w:tcPr>
          <w:p w14:paraId="1DD33795" w14:textId="77777777" w:rsidR="006D6679" w:rsidRDefault="00000000">
            <w:pPr>
              <w:spacing w:before="20" w:after="20" w:line="276" w:lineRule="auto"/>
            </w:pPr>
            <w:r>
              <w:rPr>
                <w:sz w:val="22"/>
                <w:szCs w:val="22"/>
              </w:rPr>
              <w:t>Used KIU internship support services</w:t>
            </w:r>
          </w:p>
        </w:tc>
        <w:tc>
          <w:tcPr>
            <w:tcW w:w="2200" w:type="dxa"/>
          </w:tcPr>
          <w:p w14:paraId="4B0822E6" w14:textId="77777777" w:rsidR="006D6679" w:rsidRDefault="00000000">
            <w:pPr>
              <w:spacing w:before="20" w:after="20" w:line="276" w:lineRule="auto"/>
            </w:pPr>
            <w:r>
              <w:rPr>
                <w:sz w:val="22"/>
                <w:szCs w:val="22"/>
              </w:rPr>
              <w:t>38</w:t>
            </w:r>
          </w:p>
        </w:tc>
        <w:tc>
          <w:tcPr>
            <w:tcW w:w="1600" w:type="dxa"/>
          </w:tcPr>
          <w:p w14:paraId="122FAE3E" w14:textId="77777777" w:rsidR="006D6679" w:rsidRDefault="00000000">
            <w:pPr>
              <w:spacing w:before="20" w:after="20" w:line="276" w:lineRule="auto"/>
            </w:pPr>
            <w:r>
              <w:rPr>
                <w:sz w:val="22"/>
                <w:szCs w:val="22"/>
              </w:rPr>
              <w:t>31.1</w:t>
            </w:r>
          </w:p>
        </w:tc>
      </w:tr>
    </w:tbl>
    <w:p w14:paraId="069A6806" w14:textId="77777777" w:rsidR="006D6679" w:rsidRDefault="00000000">
      <w:pPr>
        <w:pStyle w:val="Heading2"/>
        <w:spacing w:before="220" w:after="120" w:line="360" w:lineRule="auto"/>
      </w:pPr>
      <w:bookmarkStart w:id="21" w:name="_Toc234495284"/>
      <w:r>
        <w:rPr>
          <w:b/>
          <w:bCs/>
          <w:color w:val="000000"/>
          <w:sz w:val="24"/>
          <w:szCs w:val="24"/>
        </w:rPr>
        <w:t>4.2 Awareness, usage, and reasons for non-use</w:t>
      </w:r>
      <w:bookmarkEnd w:id="21"/>
    </w:p>
    <w:p w14:paraId="6C956447" w14:textId="77777777" w:rsidR="006D6679" w:rsidRDefault="00000000">
      <w:pPr>
        <w:spacing w:after="120" w:line="360" w:lineRule="auto"/>
        <w:jc w:val="both"/>
      </w:pPr>
      <w:r>
        <w:t>Awareness of KIU internship support services was low to moderate (M = 2.92, SD = 1.32 on the 5-point scale). Responses were spread widely: 38.5% of students disagreed or strongly disagreed that they were aware of the services, while 36.9% agreed or strongly agreed. Only 38 of 122 students (31.1%) had used any KIU internship support service. Among these users, the most common service by far was internship information or announcements, used by 36 of 38 users (94.7%); only small numbers reported using CV support, interview preparation, one-to-one advising, or employer events.</w:t>
      </w:r>
    </w:p>
    <w:p w14:paraId="3A34D72D" w14:textId="77777777" w:rsidR="006D6679" w:rsidRDefault="00000000">
      <w:pPr>
        <w:spacing w:after="120" w:line="360" w:lineRule="auto"/>
        <w:jc w:val="both"/>
      </w:pPr>
      <w:r>
        <w:t>Among the 84 non-users, the most frequent reason for non-use was not knowing the services existed (n = 27, 32.1%), followed by the services not seeming relevant to their field (n = 18, 21.4%) and not knowing how to access them (n = 16, 19.0%). Combined, just over half of non-users (51.2%) pointed to an awareness or access problem rather than a lack of need.</w:t>
      </w:r>
    </w:p>
    <w:p w14:paraId="182FBC08" w14:textId="77777777" w:rsidR="006D6679" w:rsidRDefault="00000000">
      <w:pPr>
        <w:pStyle w:val="Heading2"/>
        <w:spacing w:before="220" w:after="120" w:line="360" w:lineRule="auto"/>
      </w:pPr>
      <w:bookmarkStart w:id="22" w:name="_Toc234495285"/>
      <w:r>
        <w:rPr>
          <w:b/>
          <w:bCs/>
          <w:color w:val="000000"/>
          <w:sz w:val="24"/>
          <w:szCs w:val="24"/>
        </w:rPr>
        <w:t>4.3 Service evaluation among users</w:t>
      </w:r>
      <w:bookmarkEnd w:id="22"/>
    </w:p>
    <w:p w14:paraId="7A4D3AD8" w14:textId="77777777" w:rsidR="006D6679" w:rsidRDefault="00000000">
      <w:pPr>
        <w:spacing w:after="120" w:line="360" w:lineRule="auto"/>
        <w:jc w:val="both"/>
      </w:pPr>
      <w:r>
        <w:t>Table 2 and Figure 1 show how the 38 service users rated the eight service-evaluation dimensions. The composite satisfaction score was modest (M = 2.68, SD = 0.56) and showed acceptable internal consistency (Cronbach’s α = .77). Industry connections received the highest rating (M = 3.26), while CV support (M = 1.92) and interview preparation support (M = 1.55) were rated clearly lowest, well below the scale midpoint. The separate item asking whether KIU support had improved the respondent’s internship readiness averaged M = 2.95 (SD = 0.93).</w:t>
      </w:r>
    </w:p>
    <w:p w14:paraId="7FD77CA8" w14:textId="77777777" w:rsidR="006D6679" w:rsidRDefault="00000000">
      <w:pPr>
        <w:spacing w:before="120" w:after="120" w:line="360" w:lineRule="auto"/>
      </w:pPr>
      <w:r>
        <w:rPr>
          <w:b/>
          <w:bCs/>
          <w:sz w:val="22"/>
          <w:szCs w:val="22"/>
        </w:rPr>
        <w:t>Table 2. Service-evaluation ratings among support users (n = 38)</w:t>
      </w:r>
    </w:p>
    <w:tbl>
      <w:tblPr>
        <w:tblW w:w="7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200"/>
        <w:gridCol w:w="1600"/>
        <w:gridCol w:w="1600"/>
      </w:tblGrid>
      <w:tr w:rsidR="006D6679" w14:paraId="4F25D440" w14:textId="77777777">
        <w:tblPrEx>
          <w:tblCellMar>
            <w:top w:w="0" w:type="dxa"/>
            <w:bottom w:w="0" w:type="dxa"/>
          </w:tblCellMar>
        </w:tblPrEx>
        <w:tc>
          <w:tcPr>
            <w:tcW w:w="4200" w:type="dxa"/>
            <w:shd w:val="clear" w:color="auto" w:fill="E7E6E6"/>
          </w:tcPr>
          <w:p w14:paraId="08D6338B" w14:textId="77777777" w:rsidR="006D6679" w:rsidRDefault="00000000">
            <w:pPr>
              <w:spacing w:before="20" w:after="20" w:line="276" w:lineRule="auto"/>
            </w:pPr>
            <w:r>
              <w:rPr>
                <w:b/>
                <w:bCs/>
                <w:sz w:val="22"/>
                <w:szCs w:val="22"/>
              </w:rPr>
              <w:lastRenderedPageBreak/>
              <w:t>Item</w:t>
            </w:r>
          </w:p>
        </w:tc>
        <w:tc>
          <w:tcPr>
            <w:tcW w:w="1600" w:type="dxa"/>
            <w:shd w:val="clear" w:color="auto" w:fill="E7E6E6"/>
          </w:tcPr>
          <w:p w14:paraId="1C840E60" w14:textId="77777777" w:rsidR="006D6679" w:rsidRDefault="00000000">
            <w:pPr>
              <w:spacing w:before="20" w:after="20" w:line="276" w:lineRule="auto"/>
            </w:pPr>
            <w:r>
              <w:rPr>
                <w:b/>
                <w:bCs/>
                <w:sz w:val="22"/>
                <w:szCs w:val="22"/>
              </w:rPr>
              <w:t>M</w:t>
            </w:r>
          </w:p>
        </w:tc>
        <w:tc>
          <w:tcPr>
            <w:tcW w:w="1600" w:type="dxa"/>
            <w:shd w:val="clear" w:color="auto" w:fill="E7E6E6"/>
          </w:tcPr>
          <w:p w14:paraId="1128392B" w14:textId="77777777" w:rsidR="006D6679" w:rsidRDefault="00000000">
            <w:pPr>
              <w:spacing w:before="20" w:after="20" w:line="276" w:lineRule="auto"/>
            </w:pPr>
            <w:r>
              <w:rPr>
                <w:b/>
                <w:bCs/>
                <w:sz w:val="22"/>
                <w:szCs w:val="22"/>
              </w:rPr>
              <w:t>SD</w:t>
            </w:r>
          </w:p>
        </w:tc>
      </w:tr>
      <w:tr w:rsidR="006D6679" w14:paraId="1B9CAD33" w14:textId="77777777">
        <w:tblPrEx>
          <w:tblCellMar>
            <w:top w:w="0" w:type="dxa"/>
            <w:bottom w:w="0" w:type="dxa"/>
          </w:tblCellMar>
        </w:tblPrEx>
        <w:tc>
          <w:tcPr>
            <w:tcW w:w="4200" w:type="dxa"/>
          </w:tcPr>
          <w:p w14:paraId="794C8CD7" w14:textId="77777777" w:rsidR="006D6679" w:rsidRDefault="00000000">
            <w:pPr>
              <w:spacing w:before="20" w:after="20" w:line="276" w:lineRule="auto"/>
            </w:pPr>
            <w:r>
              <w:rPr>
                <w:sz w:val="22"/>
                <w:szCs w:val="22"/>
              </w:rPr>
              <w:t>Industry connections</w:t>
            </w:r>
          </w:p>
        </w:tc>
        <w:tc>
          <w:tcPr>
            <w:tcW w:w="1600" w:type="dxa"/>
          </w:tcPr>
          <w:p w14:paraId="08C3FC09" w14:textId="77777777" w:rsidR="006D6679" w:rsidRDefault="00000000">
            <w:pPr>
              <w:spacing w:before="20" w:after="20" w:line="276" w:lineRule="auto"/>
            </w:pPr>
            <w:r>
              <w:rPr>
                <w:sz w:val="22"/>
                <w:szCs w:val="22"/>
              </w:rPr>
              <w:t>3.26</w:t>
            </w:r>
          </w:p>
        </w:tc>
        <w:tc>
          <w:tcPr>
            <w:tcW w:w="1600" w:type="dxa"/>
          </w:tcPr>
          <w:p w14:paraId="61A89659" w14:textId="77777777" w:rsidR="006D6679" w:rsidRDefault="00000000">
            <w:pPr>
              <w:spacing w:before="20" w:after="20" w:line="276" w:lineRule="auto"/>
            </w:pPr>
            <w:r>
              <w:rPr>
                <w:sz w:val="22"/>
                <w:szCs w:val="22"/>
              </w:rPr>
              <w:t>0.92</w:t>
            </w:r>
          </w:p>
        </w:tc>
      </w:tr>
      <w:tr w:rsidR="006D6679" w14:paraId="5AA744D2" w14:textId="77777777">
        <w:tblPrEx>
          <w:tblCellMar>
            <w:top w:w="0" w:type="dxa"/>
            <w:bottom w:w="0" w:type="dxa"/>
          </w:tblCellMar>
        </w:tblPrEx>
        <w:tc>
          <w:tcPr>
            <w:tcW w:w="4200" w:type="dxa"/>
          </w:tcPr>
          <w:p w14:paraId="64AD4156" w14:textId="77777777" w:rsidR="006D6679" w:rsidRDefault="00000000">
            <w:pPr>
              <w:spacing w:before="20" w:after="20" w:line="276" w:lineRule="auto"/>
            </w:pPr>
            <w:r>
              <w:rPr>
                <w:sz w:val="22"/>
                <w:szCs w:val="22"/>
              </w:rPr>
              <w:t>Communication quality</w:t>
            </w:r>
          </w:p>
        </w:tc>
        <w:tc>
          <w:tcPr>
            <w:tcW w:w="1600" w:type="dxa"/>
          </w:tcPr>
          <w:p w14:paraId="65B068D7" w14:textId="77777777" w:rsidR="006D6679" w:rsidRDefault="00000000">
            <w:pPr>
              <w:spacing w:before="20" w:after="20" w:line="276" w:lineRule="auto"/>
            </w:pPr>
            <w:r>
              <w:rPr>
                <w:sz w:val="22"/>
                <w:szCs w:val="22"/>
              </w:rPr>
              <w:t>3.03</w:t>
            </w:r>
          </w:p>
        </w:tc>
        <w:tc>
          <w:tcPr>
            <w:tcW w:w="1600" w:type="dxa"/>
          </w:tcPr>
          <w:p w14:paraId="3BB2EFD3" w14:textId="77777777" w:rsidR="006D6679" w:rsidRDefault="00000000">
            <w:pPr>
              <w:spacing w:before="20" w:after="20" w:line="276" w:lineRule="auto"/>
            </w:pPr>
            <w:r>
              <w:rPr>
                <w:sz w:val="22"/>
                <w:szCs w:val="22"/>
              </w:rPr>
              <w:t>1.13</w:t>
            </w:r>
          </w:p>
        </w:tc>
      </w:tr>
      <w:tr w:rsidR="006D6679" w14:paraId="231DC2CD" w14:textId="77777777">
        <w:tblPrEx>
          <w:tblCellMar>
            <w:top w:w="0" w:type="dxa"/>
            <w:bottom w:w="0" w:type="dxa"/>
          </w:tblCellMar>
        </w:tblPrEx>
        <w:tc>
          <w:tcPr>
            <w:tcW w:w="4200" w:type="dxa"/>
          </w:tcPr>
          <w:p w14:paraId="5E081DF4" w14:textId="77777777" w:rsidR="006D6679" w:rsidRDefault="00000000">
            <w:pPr>
              <w:spacing w:before="20" w:after="20" w:line="276" w:lineRule="auto"/>
            </w:pPr>
            <w:r>
              <w:rPr>
                <w:sz w:val="22"/>
                <w:szCs w:val="22"/>
              </w:rPr>
              <w:t>Accessibility</w:t>
            </w:r>
          </w:p>
        </w:tc>
        <w:tc>
          <w:tcPr>
            <w:tcW w:w="1600" w:type="dxa"/>
          </w:tcPr>
          <w:p w14:paraId="78720888" w14:textId="77777777" w:rsidR="006D6679" w:rsidRDefault="00000000">
            <w:pPr>
              <w:spacing w:before="20" w:after="20" w:line="276" w:lineRule="auto"/>
            </w:pPr>
            <w:r>
              <w:rPr>
                <w:sz w:val="22"/>
                <w:szCs w:val="22"/>
              </w:rPr>
              <w:t>3.00</w:t>
            </w:r>
          </w:p>
        </w:tc>
        <w:tc>
          <w:tcPr>
            <w:tcW w:w="1600" w:type="dxa"/>
          </w:tcPr>
          <w:p w14:paraId="49BE4304" w14:textId="77777777" w:rsidR="006D6679" w:rsidRDefault="00000000">
            <w:pPr>
              <w:spacing w:before="20" w:after="20" w:line="276" w:lineRule="auto"/>
            </w:pPr>
            <w:r>
              <w:rPr>
                <w:sz w:val="22"/>
                <w:szCs w:val="22"/>
              </w:rPr>
              <w:t>0.81</w:t>
            </w:r>
          </w:p>
        </w:tc>
      </w:tr>
      <w:tr w:rsidR="006D6679" w14:paraId="28168208" w14:textId="77777777">
        <w:tblPrEx>
          <w:tblCellMar>
            <w:top w:w="0" w:type="dxa"/>
            <w:bottom w:w="0" w:type="dxa"/>
          </w:tblCellMar>
        </w:tblPrEx>
        <w:tc>
          <w:tcPr>
            <w:tcW w:w="4200" w:type="dxa"/>
          </w:tcPr>
          <w:p w14:paraId="47C6FDDA" w14:textId="77777777" w:rsidR="006D6679" w:rsidRDefault="00000000">
            <w:pPr>
              <w:spacing w:before="20" w:after="20" w:line="276" w:lineRule="auto"/>
            </w:pPr>
            <w:r>
              <w:rPr>
                <w:sz w:val="22"/>
                <w:szCs w:val="22"/>
              </w:rPr>
              <w:t>Application support</w:t>
            </w:r>
          </w:p>
        </w:tc>
        <w:tc>
          <w:tcPr>
            <w:tcW w:w="1600" w:type="dxa"/>
          </w:tcPr>
          <w:p w14:paraId="380563B2" w14:textId="77777777" w:rsidR="006D6679" w:rsidRDefault="00000000">
            <w:pPr>
              <w:spacing w:before="20" w:after="20" w:line="276" w:lineRule="auto"/>
            </w:pPr>
            <w:r>
              <w:rPr>
                <w:sz w:val="22"/>
                <w:szCs w:val="22"/>
              </w:rPr>
              <w:t>2.97</w:t>
            </w:r>
          </w:p>
        </w:tc>
        <w:tc>
          <w:tcPr>
            <w:tcW w:w="1600" w:type="dxa"/>
          </w:tcPr>
          <w:p w14:paraId="41CE72CA" w14:textId="77777777" w:rsidR="006D6679" w:rsidRDefault="00000000">
            <w:pPr>
              <w:spacing w:before="20" w:after="20" w:line="276" w:lineRule="auto"/>
            </w:pPr>
            <w:r>
              <w:rPr>
                <w:sz w:val="22"/>
                <w:szCs w:val="22"/>
              </w:rPr>
              <w:t>0.88</w:t>
            </w:r>
          </w:p>
        </w:tc>
      </w:tr>
      <w:tr w:rsidR="006D6679" w14:paraId="0B3F98D1" w14:textId="77777777">
        <w:tblPrEx>
          <w:tblCellMar>
            <w:top w:w="0" w:type="dxa"/>
            <w:bottom w:w="0" w:type="dxa"/>
          </w:tblCellMar>
        </w:tblPrEx>
        <w:tc>
          <w:tcPr>
            <w:tcW w:w="4200" w:type="dxa"/>
          </w:tcPr>
          <w:p w14:paraId="02872DCC" w14:textId="77777777" w:rsidR="006D6679" w:rsidRDefault="00000000">
            <w:pPr>
              <w:spacing w:before="20" w:after="20" w:line="276" w:lineRule="auto"/>
            </w:pPr>
            <w:r>
              <w:rPr>
                <w:sz w:val="22"/>
                <w:szCs w:val="22"/>
              </w:rPr>
              <w:t>Information availability</w:t>
            </w:r>
          </w:p>
        </w:tc>
        <w:tc>
          <w:tcPr>
            <w:tcW w:w="1600" w:type="dxa"/>
          </w:tcPr>
          <w:p w14:paraId="16F4AA20" w14:textId="77777777" w:rsidR="006D6679" w:rsidRDefault="00000000">
            <w:pPr>
              <w:spacing w:before="20" w:after="20" w:line="276" w:lineRule="auto"/>
            </w:pPr>
            <w:r>
              <w:rPr>
                <w:sz w:val="22"/>
                <w:szCs w:val="22"/>
              </w:rPr>
              <w:t>2.87</w:t>
            </w:r>
          </w:p>
        </w:tc>
        <w:tc>
          <w:tcPr>
            <w:tcW w:w="1600" w:type="dxa"/>
          </w:tcPr>
          <w:p w14:paraId="432F5E40" w14:textId="77777777" w:rsidR="006D6679" w:rsidRDefault="00000000">
            <w:pPr>
              <w:spacing w:before="20" w:after="20" w:line="276" w:lineRule="auto"/>
            </w:pPr>
            <w:r>
              <w:rPr>
                <w:sz w:val="22"/>
                <w:szCs w:val="22"/>
              </w:rPr>
              <w:t>0.84</w:t>
            </w:r>
          </w:p>
        </w:tc>
      </w:tr>
      <w:tr w:rsidR="006D6679" w14:paraId="13DC42F7" w14:textId="77777777">
        <w:tblPrEx>
          <w:tblCellMar>
            <w:top w:w="0" w:type="dxa"/>
            <w:bottom w:w="0" w:type="dxa"/>
          </w:tblCellMar>
        </w:tblPrEx>
        <w:tc>
          <w:tcPr>
            <w:tcW w:w="4200" w:type="dxa"/>
          </w:tcPr>
          <w:p w14:paraId="21D63C0E" w14:textId="77777777" w:rsidR="006D6679" w:rsidRDefault="00000000">
            <w:pPr>
              <w:spacing w:before="20" w:after="20" w:line="276" w:lineRule="auto"/>
            </w:pPr>
            <w:r>
              <w:rPr>
                <w:sz w:val="22"/>
                <w:szCs w:val="22"/>
              </w:rPr>
              <w:t>Overall satisfaction</w:t>
            </w:r>
          </w:p>
        </w:tc>
        <w:tc>
          <w:tcPr>
            <w:tcW w:w="1600" w:type="dxa"/>
          </w:tcPr>
          <w:p w14:paraId="32CAAC6B" w14:textId="77777777" w:rsidR="006D6679" w:rsidRDefault="00000000">
            <w:pPr>
              <w:spacing w:before="20" w:after="20" w:line="276" w:lineRule="auto"/>
            </w:pPr>
            <w:r>
              <w:rPr>
                <w:sz w:val="22"/>
                <w:szCs w:val="22"/>
              </w:rPr>
              <w:t>2.82</w:t>
            </w:r>
          </w:p>
        </w:tc>
        <w:tc>
          <w:tcPr>
            <w:tcW w:w="1600" w:type="dxa"/>
          </w:tcPr>
          <w:p w14:paraId="24455BB7" w14:textId="77777777" w:rsidR="006D6679" w:rsidRDefault="00000000">
            <w:pPr>
              <w:spacing w:before="20" w:after="20" w:line="276" w:lineRule="auto"/>
            </w:pPr>
            <w:r>
              <w:rPr>
                <w:sz w:val="22"/>
                <w:szCs w:val="22"/>
              </w:rPr>
              <w:t>0.98</w:t>
            </w:r>
          </w:p>
        </w:tc>
      </w:tr>
      <w:tr w:rsidR="006D6679" w14:paraId="28DBD73E" w14:textId="77777777">
        <w:tblPrEx>
          <w:tblCellMar>
            <w:top w:w="0" w:type="dxa"/>
            <w:bottom w:w="0" w:type="dxa"/>
          </w:tblCellMar>
        </w:tblPrEx>
        <w:tc>
          <w:tcPr>
            <w:tcW w:w="4200" w:type="dxa"/>
          </w:tcPr>
          <w:p w14:paraId="0401BC26" w14:textId="77777777" w:rsidR="006D6679" w:rsidRDefault="00000000">
            <w:pPr>
              <w:spacing w:before="20" w:after="20" w:line="276" w:lineRule="auto"/>
            </w:pPr>
            <w:r>
              <w:rPr>
                <w:sz w:val="22"/>
                <w:szCs w:val="22"/>
              </w:rPr>
              <w:t>CV support</w:t>
            </w:r>
          </w:p>
        </w:tc>
        <w:tc>
          <w:tcPr>
            <w:tcW w:w="1600" w:type="dxa"/>
          </w:tcPr>
          <w:p w14:paraId="519BBD0B" w14:textId="77777777" w:rsidR="006D6679" w:rsidRDefault="00000000">
            <w:pPr>
              <w:spacing w:before="20" w:after="20" w:line="276" w:lineRule="auto"/>
            </w:pPr>
            <w:r>
              <w:rPr>
                <w:sz w:val="22"/>
                <w:szCs w:val="22"/>
              </w:rPr>
              <w:t>1.92</w:t>
            </w:r>
          </w:p>
        </w:tc>
        <w:tc>
          <w:tcPr>
            <w:tcW w:w="1600" w:type="dxa"/>
          </w:tcPr>
          <w:p w14:paraId="5EB03486" w14:textId="77777777" w:rsidR="006D6679" w:rsidRDefault="00000000">
            <w:pPr>
              <w:spacing w:before="20" w:after="20" w:line="276" w:lineRule="auto"/>
            </w:pPr>
            <w:r>
              <w:rPr>
                <w:sz w:val="22"/>
                <w:szCs w:val="22"/>
              </w:rPr>
              <w:t>0.91</w:t>
            </w:r>
          </w:p>
        </w:tc>
      </w:tr>
      <w:tr w:rsidR="006D6679" w14:paraId="1A33B088" w14:textId="77777777">
        <w:tblPrEx>
          <w:tblCellMar>
            <w:top w:w="0" w:type="dxa"/>
            <w:bottom w:w="0" w:type="dxa"/>
          </w:tblCellMar>
        </w:tblPrEx>
        <w:tc>
          <w:tcPr>
            <w:tcW w:w="4200" w:type="dxa"/>
          </w:tcPr>
          <w:p w14:paraId="14DD21D8" w14:textId="77777777" w:rsidR="006D6679" w:rsidRDefault="00000000">
            <w:pPr>
              <w:spacing w:before="20" w:after="20" w:line="276" w:lineRule="auto"/>
            </w:pPr>
            <w:r>
              <w:rPr>
                <w:sz w:val="22"/>
                <w:szCs w:val="22"/>
              </w:rPr>
              <w:t>Interview preparation support</w:t>
            </w:r>
          </w:p>
        </w:tc>
        <w:tc>
          <w:tcPr>
            <w:tcW w:w="1600" w:type="dxa"/>
          </w:tcPr>
          <w:p w14:paraId="0268176A" w14:textId="77777777" w:rsidR="006D6679" w:rsidRDefault="00000000">
            <w:pPr>
              <w:spacing w:before="20" w:after="20" w:line="276" w:lineRule="auto"/>
            </w:pPr>
            <w:r>
              <w:rPr>
                <w:sz w:val="22"/>
                <w:szCs w:val="22"/>
              </w:rPr>
              <w:t>1.55</w:t>
            </w:r>
          </w:p>
        </w:tc>
        <w:tc>
          <w:tcPr>
            <w:tcW w:w="1600" w:type="dxa"/>
          </w:tcPr>
          <w:p w14:paraId="6E56FCF8" w14:textId="77777777" w:rsidR="006D6679" w:rsidRDefault="00000000">
            <w:pPr>
              <w:spacing w:before="20" w:after="20" w:line="276" w:lineRule="auto"/>
            </w:pPr>
            <w:r>
              <w:rPr>
                <w:sz w:val="22"/>
                <w:szCs w:val="22"/>
              </w:rPr>
              <w:t>0.80</w:t>
            </w:r>
          </w:p>
        </w:tc>
      </w:tr>
      <w:tr w:rsidR="006D6679" w14:paraId="5BD46DDC" w14:textId="77777777">
        <w:tblPrEx>
          <w:tblCellMar>
            <w:top w:w="0" w:type="dxa"/>
            <w:bottom w:w="0" w:type="dxa"/>
          </w:tblCellMar>
        </w:tblPrEx>
        <w:tc>
          <w:tcPr>
            <w:tcW w:w="4200" w:type="dxa"/>
          </w:tcPr>
          <w:p w14:paraId="4C081451" w14:textId="77777777" w:rsidR="006D6679" w:rsidRDefault="00000000">
            <w:pPr>
              <w:spacing w:before="20" w:after="20" w:line="276" w:lineRule="auto"/>
            </w:pPr>
            <w:r>
              <w:rPr>
                <w:sz w:val="22"/>
                <w:szCs w:val="22"/>
              </w:rPr>
              <w:t>Composite satisfaction score</w:t>
            </w:r>
          </w:p>
        </w:tc>
        <w:tc>
          <w:tcPr>
            <w:tcW w:w="1600" w:type="dxa"/>
          </w:tcPr>
          <w:p w14:paraId="6D004921" w14:textId="77777777" w:rsidR="006D6679" w:rsidRDefault="00000000">
            <w:pPr>
              <w:spacing w:before="20" w:after="20" w:line="276" w:lineRule="auto"/>
            </w:pPr>
            <w:r>
              <w:rPr>
                <w:sz w:val="22"/>
                <w:szCs w:val="22"/>
              </w:rPr>
              <w:t>2.68</w:t>
            </w:r>
          </w:p>
        </w:tc>
        <w:tc>
          <w:tcPr>
            <w:tcW w:w="1600" w:type="dxa"/>
          </w:tcPr>
          <w:p w14:paraId="3F0271CC" w14:textId="77777777" w:rsidR="006D6679" w:rsidRDefault="00000000">
            <w:pPr>
              <w:spacing w:before="20" w:after="20" w:line="276" w:lineRule="auto"/>
            </w:pPr>
            <w:r>
              <w:rPr>
                <w:sz w:val="22"/>
                <w:szCs w:val="22"/>
              </w:rPr>
              <w:t>0.56</w:t>
            </w:r>
          </w:p>
        </w:tc>
      </w:tr>
    </w:tbl>
    <w:p w14:paraId="7F876716" w14:textId="77777777" w:rsidR="006D6679" w:rsidRDefault="00000000">
      <w:pPr>
        <w:spacing w:before="120" w:after="120" w:line="360" w:lineRule="auto"/>
      </w:pPr>
      <w:r>
        <w:rPr>
          <w:b/>
          <w:bCs/>
          <w:sz w:val="22"/>
          <w:szCs w:val="22"/>
        </w:rPr>
        <w:t>Figure 1. Mean service-evaluation ratings among support users (n = 38)</w:t>
      </w:r>
    </w:p>
    <w:p w14:paraId="088AB2DA" w14:textId="77777777" w:rsidR="006D6679" w:rsidRDefault="00000000">
      <w:pPr>
        <w:spacing w:after="200"/>
        <w:jc w:val="center"/>
      </w:pPr>
      <w:r>
        <w:rPr>
          <w:noProof/>
        </w:rPr>
        <w:drawing>
          <wp:inline distT="0" distB="0" distL="0" distR="0" wp14:anchorId="2D0F089B" wp14:editId="34C9EAC4">
            <wp:extent cx="5905500" cy="279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790825"/>
                    </a:xfrm>
                    <a:prstGeom prst="rect">
                      <a:avLst/>
                    </a:prstGeom>
                  </pic:spPr>
                </pic:pic>
              </a:graphicData>
            </a:graphic>
          </wp:inline>
        </w:drawing>
      </w:r>
    </w:p>
    <w:p w14:paraId="4BFC1269" w14:textId="77777777" w:rsidR="006D6679" w:rsidRDefault="00000000">
      <w:pPr>
        <w:pStyle w:val="Heading2"/>
        <w:spacing w:before="220" w:after="120" w:line="360" w:lineRule="auto"/>
      </w:pPr>
      <w:bookmarkStart w:id="23" w:name="_Toc234495286"/>
      <w:r>
        <w:rPr>
          <w:b/>
          <w:bCs/>
          <w:color w:val="000000"/>
          <w:sz w:val="24"/>
          <w:szCs w:val="24"/>
        </w:rPr>
        <w:t>4.4 Internship readiness and hypothesis test</w:t>
      </w:r>
      <w:bookmarkEnd w:id="23"/>
    </w:p>
    <w:p w14:paraId="205B2F59" w14:textId="77777777" w:rsidR="006D6679" w:rsidRDefault="00000000">
      <w:pPr>
        <w:spacing w:after="120" w:line="360" w:lineRule="auto"/>
        <w:jc w:val="both"/>
      </w:pPr>
      <w:r>
        <w:t xml:space="preserve">Across all 122 respondents, the composite readiness </w:t>
      </w:r>
      <w:proofErr w:type="gramStart"/>
      <w:r>
        <w:t>score</w:t>
      </w:r>
      <w:proofErr w:type="gramEnd"/>
      <w:r>
        <w:t xml:space="preserve"> averaged M = 2.89 (SD = 0.85; Cronbach’s α = .77). Confidence was highest for CV preparation (M = 3.20) and lowest for finding internship opportunities (M = 2.60). A Shapiro–Wilk test indicated no significant departure from normality for the readiness score, W = .983, p = .130, supporting the use of parametric tests.</w:t>
      </w:r>
    </w:p>
    <w:p w14:paraId="65341DB4" w14:textId="77777777" w:rsidR="006D6679" w:rsidRDefault="00000000">
      <w:pPr>
        <w:spacing w:after="120" w:line="360" w:lineRule="auto"/>
        <w:jc w:val="both"/>
      </w:pPr>
      <w:r>
        <w:t xml:space="preserve">A Welch independent-samples t-test compared readiness between service users and non-users (Table 3, Figure 2). Users reported significantly higher readiness (M = 3.23, SD = 0.70) than non-users (M = 2.74, SD = 0.87), with a mean difference of 0.50 points, 95% CI [0.20, 0.79], </w:t>
      </w:r>
      <w:proofErr w:type="gramStart"/>
      <w:r>
        <w:t>t(</w:t>
      </w:r>
      <w:proofErr w:type="gramEnd"/>
      <w:r>
        <w:t>88.1) = 3.36, p = .001, d = 0.60, a medium effect. The evidence was therefore sufficient to reject H₀ at the .05 significance level: students who used KIU internship support services reported significantly higher perceived internship readiness than students who did not.</w:t>
      </w:r>
    </w:p>
    <w:p w14:paraId="1B648152" w14:textId="77777777" w:rsidR="006D6679" w:rsidRDefault="00000000">
      <w:pPr>
        <w:spacing w:before="120" w:after="120" w:line="360" w:lineRule="auto"/>
      </w:pPr>
      <w:r>
        <w:rPr>
          <w:b/>
          <w:bCs/>
          <w:sz w:val="22"/>
          <w:szCs w:val="22"/>
        </w:rPr>
        <w:t>Table 3. Welch t-test: readiness score by service usage</w:t>
      </w:r>
    </w:p>
    <w:tbl>
      <w:tblPr>
        <w:tblW w:w="6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1300"/>
        <w:gridCol w:w="1300"/>
        <w:gridCol w:w="1300"/>
      </w:tblGrid>
      <w:tr w:rsidR="006D6679" w14:paraId="15D60A77" w14:textId="77777777">
        <w:tblPrEx>
          <w:tblCellMar>
            <w:top w:w="0" w:type="dxa"/>
            <w:bottom w:w="0" w:type="dxa"/>
          </w:tblCellMar>
        </w:tblPrEx>
        <w:tc>
          <w:tcPr>
            <w:tcW w:w="3000" w:type="dxa"/>
            <w:shd w:val="clear" w:color="auto" w:fill="E7E6E6"/>
          </w:tcPr>
          <w:p w14:paraId="79C1F516" w14:textId="77777777" w:rsidR="006D6679" w:rsidRDefault="00000000">
            <w:pPr>
              <w:spacing w:before="20" w:after="20" w:line="276" w:lineRule="auto"/>
            </w:pPr>
            <w:r>
              <w:rPr>
                <w:b/>
                <w:bCs/>
                <w:sz w:val="22"/>
                <w:szCs w:val="22"/>
              </w:rPr>
              <w:lastRenderedPageBreak/>
              <w:t>Group</w:t>
            </w:r>
          </w:p>
        </w:tc>
        <w:tc>
          <w:tcPr>
            <w:tcW w:w="1300" w:type="dxa"/>
            <w:shd w:val="clear" w:color="auto" w:fill="E7E6E6"/>
          </w:tcPr>
          <w:p w14:paraId="20E44614" w14:textId="77777777" w:rsidR="006D6679" w:rsidRDefault="00000000">
            <w:pPr>
              <w:spacing w:before="20" w:after="20" w:line="276" w:lineRule="auto"/>
            </w:pPr>
            <w:r>
              <w:rPr>
                <w:b/>
                <w:bCs/>
                <w:sz w:val="22"/>
                <w:szCs w:val="22"/>
              </w:rPr>
              <w:t>n</w:t>
            </w:r>
          </w:p>
        </w:tc>
        <w:tc>
          <w:tcPr>
            <w:tcW w:w="1300" w:type="dxa"/>
            <w:shd w:val="clear" w:color="auto" w:fill="E7E6E6"/>
          </w:tcPr>
          <w:p w14:paraId="7061351F" w14:textId="77777777" w:rsidR="006D6679" w:rsidRDefault="00000000">
            <w:pPr>
              <w:spacing w:before="20" w:after="20" w:line="276" w:lineRule="auto"/>
            </w:pPr>
            <w:r>
              <w:rPr>
                <w:b/>
                <w:bCs/>
                <w:sz w:val="22"/>
                <w:szCs w:val="22"/>
              </w:rPr>
              <w:t>M</w:t>
            </w:r>
          </w:p>
        </w:tc>
        <w:tc>
          <w:tcPr>
            <w:tcW w:w="1300" w:type="dxa"/>
            <w:shd w:val="clear" w:color="auto" w:fill="E7E6E6"/>
          </w:tcPr>
          <w:p w14:paraId="5C3FC784" w14:textId="77777777" w:rsidR="006D6679" w:rsidRDefault="00000000">
            <w:pPr>
              <w:spacing w:before="20" w:after="20" w:line="276" w:lineRule="auto"/>
            </w:pPr>
            <w:r>
              <w:rPr>
                <w:b/>
                <w:bCs/>
                <w:sz w:val="22"/>
                <w:szCs w:val="22"/>
              </w:rPr>
              <w:t>SD</w:t>
            </w:r>
          </w:p>
        </w:tc>
      </w:tr>
      <w:tr w:rsidR="006D6679" w14:paraId="2976BFE4" w14:textId="77777777">
        <w:tblPrEx>
          <w:tblCellMar>
            <w:top w:w="0" w:type="dxa"/>
            <w:bottom w:w="0" w:type="dxa"/>
          </w:tblCellMar>
        </w:tblPrEx>
        <w:tc>
          <w:tcPr>
            <w:tcW w:w="3000" w:type="dxa"/>
          </w:tcPr>
          <w:p w14:paraId="4F5C4634" w14:textId="77777777" w:rsidR="006D6679" w:rsidRDefault="00000000">
            <w:pPr>
              <w:spacing w:before="20" w:after="20" w:line="276" w:lineRule="auto"/>
            </w:pPr>
            <w:r>
              <w:rPr>
                <w:sz w:val="22"/>
                <w:szCs w:val="22"/>
              </w:rPr>
              <w:t>Used support services</w:t>
            </w:r>
          </w:p>
        </w:tc>
        <w:tc>
          <w:tcPr>
            <w:tcW w:w="1300" w:type="dxa"/>
          </w:tcPr>
          <w:p w14:paraId="21FE23F7" w14:textId="77777777" w:rsidR="006D6679" w:rsidRDefault="00000000">
            <w:pPr>
              <w:spacing w:before="20" w:after="20" w:line="276" w:lineRule="auto"/>
            </w:pPr>
            <w:r>
              <w:rPr>
                <w:sz w:val="22"/>
                <w:szCs w:val="22"/>
              </w:rPr>
              <w:t>38</w:t>
            </w:r>
          </w:p>
        </w:tc>
        <w:tc>
          <w:tcPr>
            <w:tcW w:w="1300" w:type="dxa"/>
          </w:tcPr>
          <w:p w14:paraId="2DB683DD" w14:textId="77777777" w:rsidR="006D6679" w:rsidRDefault="00000000">
            <w:pPr>
              <w:spacing w:before="20" w:after="20" w:line="276" w:lineRule="auto"/>
            </w:pPr>
            <w:r>
              <w:rPr>
                <w:sz w:val="22"/>
                <w:szCs w:val="22"/>
              </w:rPr>
              <w:t>3.23</w:t>
            </w:r>
          </w:p>
        </w:tc>
        <w:tc>
          <w:tcPr>
            <w:tcW w:w="1300" w:type="dxa"/>
          </w:tcPr>
          <w:p w14:paraId="4DED738D" w14:textId="77777777" w:rsidR="006D6679" w:rsidRDefault="00000000">
            <w:pPr>
              <w:spacing w:before="20" w:after="20" w:line="276" w:lineRule="auto"/>
            </w:pPr>
            <w:r>
              <w:rPr>
                <w:sz w:val="22"/>
                <w:szCs w:val="22"/>
              </w:rPr>
              <w:t>0.70</w:t>
            </w:r>
          </w:p>
        </w:tc>
      </w:tr>
      <w:tr w:rsidR="006D6679" w14:paraId="3A1BC988" w14:textId="77777777">
        <w:tblPrEx>
          <w:tblCellMar>
            <w:top w:w="0" w:type="dxa"/>
            <w:bottom w:w="0" w:type="dxa"/>
          </w:tblCellMar>
        </w:tblPrEx>
        <w:tc>
          <w:tcPr>
            <w:tcW w:w="3000" w:type="dxa"/>
          </w:tcPr>
          <w:p w14:paraId="4BAC553C" w14:textId="77777777" w:rsidR="006D6679" w:rsidRDefault="00000000">
            <w:pPr>
              <w:spacing w:before="20" w:after="20" w:line="276" w:lineRule="auto"/>
            </w:pPr>
            <w:r>
              <w:rPr>
                <w:sz w:val="22"/>
                <w:szCs w:val="22"/>
              </w:rPr>
              <w:t>Did not use services</w:t>
            </w:r>
          </w:p>
        </w:tc>
        <w:tc>
          <w:tcPr>
            <w:tcW w:w="1300" w:type="dxa"/>
          </w:tcPr>
          <w:p w14:paraId="2D4EBC9C" w14:textId="77777777" w:rsidR="006D6679" w:rsidRDefault="00000000">
            <w:pPr>
              <w:spacing w:before="20" w:after="20" w:line="276" w:lineRule="auto"/>
            </w:pPr>
            <w:r>
              <w:rPr>
                <w:sz w:val="22"/>
                <w:szCs w:val="22"/>
              </w:rPr>
              <w:t>84</w:t>
            </w:r>
          </w:p>
        </w:tc>
        <w:tc>
          <w:tcPr>
            <w:tcW w:w="1300" w:type="dxa"/>
          </w:tcPr>
          <w:p w14:paraId="40A67008" w14:textId="77777777" w:rsidR="006D6679" w:rsidRDefault="00000000">
            <w:pPr>
              <w:spacing w:before="20" w:after="20" w:line="276" w:lineRule="auto"/>
            </w:pPr>
            <w:r>
              <w:rPr>
                <w:sz w:val="22"/>
                <w:szCs w:val="22"/>
              </w:rPr>
              <w:t>2.74</w:t>
            </w:r>
          </w:p>
        </w:tc>
        <w:tc>
          <w:tcPr>
            <w:tcW w:w="1300" w:type="dxa"/>
          </w:tcPr>
          <w:p w14:paraId="4C24C80F" w14:textId="77777777" w:rsidR="006D6679" w:rsidRDefault="00000000">
            <w:pPr>
              <w:spacing w:before="20" w:after="20" w:line="276" w:lineRule="auto"/>
            </w:pPr>
            <w:r>
              <w:rPr>
                <w:sz w:val="22"/>
                <w:szCs w:val="22"/>
              </w:rPr>
              <w:t>0.87</w:t>
            </w:r>
          </w:p>
        </w:tc>
      </w:tr>
    </w:tbl>
    <w:p w14:paraId="570F3754" w14:textId="77777777" w:rsidR="006D6679" w:rsidRDefault="00000000">
      <w:pPr>
        <w:spacing w:after="200" w:line="360" w:lineRule="auto"/>
        <w:jc w:val="both"/>
      </w:pPr>
      <w:r>
        <w:rPr>
          <w:i/>
          <w:iCs/>
        </w:rPr>
        <w:t xml:space="preserve">Mean difference = 0.50, 95% CI [0.20, 0.79], </w:t>
      </w:r>
      <w:proofErr w:type="gramStart"/>
      <w:r>
        <w:rPr>
          <w:i/>
          <w:iCs/>
        </w:rPr>
        <w:t>t(</w:t>
      </w:r>
      <w:proofErr w:type="gramEnd"/>
      <w:r>
        <w:rPr>
          <w:i/>
          <w:iCs/>
        </w:rPr>
        <w:t>88.1) = 3.36, p = .001, Cohen’s d = 0.60.</w:t>
      </w:r>
    </w:p>
    <w:p w14:paraId="7DCA71F2" w14:textId="77777777" w:rsidR="006D6679" w:rsidRDefault="00000000">
      <w:pPr>
        <w:spacing w:before="120" w:after="120" w:line="360" w:lineRule="auto"/>
      </w:pPr>
      <w:r>
        <w:rPr>
          <w:b/>
          <w:bCs/>
          <w:sz w:val="22"/>
          <w:szCs w:val="22"/>
        </w:rPr>
        <w:t>Figure 2. Mean readiness score by service usage (error bars show ± 1 SD)</w:t>
      </w:r>
    </w:p>
    <w:p w14:paraId="5A824859" w14:textId="77777777" w:rsidR="006D6679" w:rsidRDefault="00000000">
      <w:pPr>
        <w:spacing w:after="200"/>
        <w:jc w:val="center"/>
      </w:pPr>
      <w:r>
        <w:rPr>
          <w:noProof/>
        </w:rPr>
        <w:drawing>
          <wp:inline distT="0" distB="0" distL="0" distR="0" wp14:anchorId="41402D7B" wp14:editId="561D9E13">
            <wp:extent cx="3810000" cy="2819400"/>
            <wp:effectExtent l="0" t="0" r="0" b="0"/>
            <wp:docPr id="1209407319" name="Picture 120940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819400"/>
                    </a:xfrm>
                    <a:prstGeom prst="rect">
                      <a:avLst/>
                    </a:prstGeom>
                  </pic:spPr>
                </pic:pic>
              </a:graphicData>
            </a:graphic>
          </wp:inline>
        </w:drawing>
      </w:r>
    </w:p>
    <w:p w14:paraId="531E6CDA" w14:textId="77777777" w:rsidR="006D6679" w:rsidRDefault="00000000">
      <w:pPr>
        <w:spacing w:after="120" w:line="360" w:lineRule="auto"/>
        <w:jc w:val="both"/>
      </w:pPr>
      <w:r>
        <w:t xml:space="preserve">Two exploratory correlations supported the same pattern. Awareness of the services correlated moderately and positively with readiness, </w:t>
      </w:r>
      <w:proofErr w:type="gramStart"/>
      <w:r>
        <w:t>r(</w:t>
      </w:r>
      <w:proofErr w:type="gramEnd"/>
      <w:r>
        <w:t xml:space="preserve">120) = .43, p &lt; .001 (Spearman’s ρ = .44, p &lt; .001), and year of study correlated weakly and positively with readiness, </w:t>
      </w:r>
      <w:proofErr w:type="gramStart"/>
      <w:r>
        <w:t>r(</w:t>
      </w:r>
      <w:proofErr w:type="gramEnd"/>
      <w:r>
        <w:t>120) = .27, p = .002 (Spearman’s ρ = .26, p = .003).</w:t>
      </w:r>
    </w:p>
    <w:p w14:paraId="5142BDF6" w14:textId="77777777" w:rsidR="006D6679" w:rsidRDefault="00000000">
      <w:pPr>
        <w:pStyle w:val="Heading2"/>
        <w:spacing w:before="220" w:after="120" w:line="360" w:lineRule="auto"/>
      </w:pPr>
      <w:bookmarkStart w:id="24" w:name="_Toc234495287"/>
      <w:r>
        <w:rPr>
          <w:b/>
          <w:bCs/>
          <w:color w:val="000000"/>
          <w:sz w:val="24"/>
          <w:szCs w:val="24"/>
        </w:rPr>
        <w:t>4.5 Improvement priorities and open-ended responses</w:t>
      </w:r>
      <w:bookmarkEnd w:id="24"/>
    </w:p>
    <w:p w14:paraId="087E6D3F" w14:textId="77777777" w:rsidR="006D6679" w:rsidRDefault="00000000">
      <w:pPr>
        <w:spacing w:after="120" w:line="360" w:lineRule="auto"/>
        <w:jc w:val="both"/>
      </w:pPr>
      <w:r>
        <w:t>When asked which single improvement would help students most, the top choice was earlier communication about internship opportunities (n = 47, 38.5%), followed by one central internship information platform (n = 26, 21.3%) and more employer and alumni networking events (n = 18, 14.8%).</w:t>
      </w:r>
    </w:p>
    <w:p w14:paraId="7531CC6C" w14:textId="77777777" w:rsidR="006D6679" w:rsidRDefault="00000000">
      <w:pPr>
        <w:spacing w:after="120" w:line="360" w:lineRule="auto"/>
        <w:jc w:val="both"/>
      </w:pPr>
      <w:r>
        <w:t xml:space="preserve">Of the 122 respondents, 76 described a biggest weakness and 70 offered an improvement suggestion. Thematic coding produced four themes. The first and most common theme was lack of awareness and visibility: many students simply did not know the services existed (“I think the biggest weakness is that many students are not even aware that these internship support services exist”). The second was late or infrequent communication (“Information is shared too late”). The third was limited, field-mismatched opportunities, raised especially by Management and Mathematics students (“There are very few internship opportunities related to mathematics, which </w:t>
      </w:r>
      <w:r>
        <w:lastRenderedPageBreak/>
        <w:t>makes it difficult for students in this field to find relevant placements”). The fourth was a lack of practical preparation support (“we don’t get any tips on how to prepare CVs or for interviews”). Improvement suggestions mirrored these themes: more and earlier communication, a dedicated internship platform, more field-specific partnerships, and more networking events and interview practice.</w:t>
      </w:r>
    </w:p>
    <w:p w14:paraId="127C3077" w14:textId="77777777" w:rsidR="006D6679" w:rsidRDefault="00000000">
      <w:pPr>
        <w:pStyle w:val="Heading1"/>
        <w:spacing w:before="280" w:after="160" w:line="360" w:lineRule="auto"/>
      </w:pPr>
      <w:bookmarkStart w:id="25" w:name="_Toc234495288"/>
      <w:r>
        <w:rPr>
          <w:b/>
          <w:bCs/>
          <w:color w:val="000000"/>
          <w:sz w:val="28"/>
          <w:szCs w:val="28"/>
        </w:rPr>
        <w:t>5. Discussion</w:t>
      </w:r>
      <w:bookmarkEnd w:id="25"/>
    </w:p>
    <w:p w14:paraId="415C07FE" w14:textId="77777777" w:rsidR="006D6679" w:rsidRDefault="00000000">
      <w:pPr>
        <w:pStyle w:val="Heading2"/>
        <w:spacing w:before="220" w:after="120" w:line="360" w:lineRule="auto"/>
      </w:pPr>
      <w:bookmarkStart w:id="26" w:name="_Toc234495289"/>
      <w:r>
        <w:rPr>
          <w:b/>
          <w:bCs/>
          <w:color w:val="000000"/>
          <w:sz w:val="24"/>
          <w:szCs w:val="24"/>
        </w:rPr>
        <w:t>5.1 Interpretation of findings</w:t>
      </w:r>
      <w:bookmarkEnd w:id="26"/>
    </w:p>
    <w:p w14:paraId="02AB6F0C" w14:textId="77777777" w:rsidR="006D6679" w:rsidRDefault="00000000">
      <w:pPr>
        <w:spacing w:after="120" w:line="360" w:lineRule="auto"/>
        <w:jc w:val="both"/>
      </w:pPr>
      <w:r>
        <w:t>The research question asked how effective KIU undergraduates perceive the university’s internship support services to be. The answer the data gives is: potentially effective, but largely invisible. Students who used the services reported significantly higher internship readiness than those who did not, with a medium effect size (d = 0.60), and awareness of the services correlated moderately with readiness. Yet only 31.1% of students had used any service, awareness averaged below the scale midpoint, and the single most common reason for non-use was not knowing the services existed. In other words, the strongest evidence against KIU’s internship support is not that students find it useless, but that most students never encounter it.</w:t>
      </w:r>
    </w:p>
    <w:p w14:paraId="05CFD5B0" w14:textId="77777777" w:rsidR="006D6679" w:rsidRDefault="00000000">
      <w:pPr>
        <w:spacing w:after="120" w:line="360" w:lineRule="auto"/>
        <w:jc w:val="both"/>
      </w:pPr>
      <w:r>
        <w:t>The service-evaluation results sharpen this picture. Even among users, satisfaction was modest (M = 2.68), and the profile was uneven: industry connections, communication, and accessibility hovered around the midpoint, while CV support and interview preparation were rated very low (M = 1.92 and 1.55). This is consistent with what users actually received — almost all of them (94.7%) used the services only as an information channel, and very few experienced any hands-on preparation support. KIU’s support currently functions mainly as an announcement service rather than a development service.</w:t>
      </w:r>
    </w:p>
    <w:p w14:paraId="11456881" w14:textId="77777777" w:rsidR="006D6679" w:rsidRDefault="00000000">
      <w:pPr>
        <w:pStyle w:val="Heading2"/>
        <w:spacing w:before="220" w:after="120" w:line="360" w:lineRule="auto"/>
      </w:pPr>
      <w:bookmarkStart w:id="27" w:name="_Toc234495290"/>
      <w:r>
        <w:rPr>
          <w:b/>
          <w:bCs/>
          <w:color w:val="000000"/>
          <w:sz w:val="24"/>
          <w:szCs w:val="24"/>
        </w:rPr>
        <w:t>5.2 Connection to the literature</w:t>
      </w:r>
      <w:bookmarkEnd w:id="27"/>
    </w:p>
    <w:p w14:paraId="2EC6E3BD" w14:textId="77777777" w:rsidR="006D6679" w:rsidRDefault="00000000">
      <w:pPr>
        <w:spacing w:after="120" w:line="360" w:lineRule="auto"/>
        <w:jc w:val="both"/>
      </w:pPr>
      <w:r>
        <w:t>Three findings connect directly to prior work. First, the 31.1% usage rate almost exactly reproduces the international “satisfaction–</w:t>
      </w:r>
      <w:proofErr w:type="spellStart"/>
      <w:r>
        <w:t>utilisation</w:t>
      </w:r>
      <w:proofErr w:type="spellEnd"/>
      <w:r>
        <w:t xml:space="preserve"> paradox”, in which only about a third of students use </w:t>
      </w:r>
      <w:proofErr w:type="spellStart"/>
      <w:r>
        <w:t>centralised</w:t>
      </w:r>
      <w:proofErr w:type="spellEnd"/>
      <w:r>
        <w:t xml:space="preserve"> career services [2]; KIU students behave like their international peers. Second, the association between service use and higher perceived readiness aligns with the 2025 UK finding that engagement with internships and related support increases perceived employability across student groups [14], and with the </w:t>
      </w:r>
      <w:proofErr w:type="spellStart"/>
      <w:r>
        <w:t>CareerEDGE</w:t>
      </w:r>
      <w:proofErr w:type="spellEnd"/>
      <w:r>
        <w:t xml:space="preserve"> and SCCT prediction that career development activities build self-efficacy and confidence [6], [9]. Third, however, the results partially contradict the pattern reported in Western studies, where students are typically </w:t>
      </w:r>
      <w:r>
        <w:lastRenderedPageBreak/>
        <w:t xml:space="preserve">most satisfied with transactional services such as CV reviews and mock interviews and least satisfied with deep </w:t>
      </w:r>
      <w:proofErr w:type="spellStart"/>
      <w:r>
        <w:t>personalised</w:t>
      </w:r>
      <w:proofErr w:type="spellEnd"/>
      <w:r>
        <w:t xml:space="preserve"> guidance [3]. At KIU, the transactional preparation services are precisely the weakest-rated area — most likely because they are barely delivered at all, rather than delivered poorly. The satisfaction drivers identified in prior service-quality research — reliability, empathy, and targeted guidance [15], [16] — are exactly the dimensions students said were missing in their open-ended answers.</w:t>
      </w:r>
    </w:p>
    <w:p w14:paraId="1F1B8DCF" w14:textId="77777777" w:rsidR="006D6679" w:rsidRDefault="00000000">
      <w:pPr>
        <w:pStyle w:val="Heading2"/>
        <w:spacing w:before="220" w:after="120" w:line="360" w:lineRule="auto"/>
      </w:pPr>
      <w:bookmarkStart w:id="28" w:name="_Toc234495291"/>
      <w:r>
        <w:rPr>
          <w:b/>
          <w:bCs/>
          <w:color w:val="000000"/>
          <w:sz w:val="24"/>
          <w:szCs w:val="24"/>
        </w:rPr>
        <w:t>5.3 Unexpected findings</w:t>
      </w:r>
      <w:bookmarkEnd w:id="28"/>
    </w:p>
    <w:p w14:paraId="7F1C0C9C" w14:textId="77777777" w:rsidR="006D6679" w:rsidRDefault="00000000">
      <w:pPr>
        <w:spacing w:after="120" w:line="360" w:lineRule="auto"/>
        <w:jc w:val="both"/>
      </w:pPr>
      <w:r>
        <w:t>The extremely low rating for interview preparation (M = 1.55) was more severe than expected, given that mock interviews are among the cheapest and most evidence-supported interventions in the employability literature [8], [9]. Another notable pattern was the concentration of field-relevance complaints among Management and Mathematics students, suggesting the current internship pipeline is perceived as serving Computer Science students first. Finally, although 78.7% of students had searched for an internship, only 31.1% had used the university’s own support to do so — students are clearly motivated, but they are searching alone.</w:t>
      </w:r>
    </w:p>
    <w:p w14:paraId="721CAD06" w14:textId="77777777" w:rsidR="006D6679" w:rsidRDefault="00000000">
      <w:pPr>
        <w:pStyle w:val="Heading2"/>
        <w:spacing w:before="220" w:after="120" w:line="360" w:lineRule="auto"/>
      </w:pPr>
      <w:bookmarkStart w:id="29" w:name="_Toc234495292"/>
      <w:r>
        <w:rPr>
          <w:b/>
          <w:bCs/>
          <w:color w:val="000000"/>
          <w:sz w:val="24"/>
          <w:szCs w:val="24"/>
        </w:rPr>
        <w:t>5.4 Limitations</w:t>
      </w:r>
      <w:bookmarkEnd w:id="29"/>
    </w:p>
    <w:p w14:paraId="5126BA70" w14:textId="77777777" w:rsidR="006D6679" w:rsidRDefault="00000000">
      <w:pPr>
        <w:spacing w:after="120" w:line="360" w:lineRule="auto"/>
        <w:jc w:val="both"/>
      </w:pPr>
      <w:r>
        <w:t xml:space="preserve">Several limitations qualify these findings. The convenience sample is heavily weighted toward 3rd-year Computer Science students, so the perceptions of Management and Mathematics students — and of 2nd- and 4th-year students — are represented by small subgroups. The cross-sectional design means the user/non-user difference in readiness is an association, not proof that services caused higher readiness; more confident or proactive students may simply be more likely both to use services and to feel ready (self-selection). All measures are self-reported perceptions rather than actual placement outcomes. The instrument was custom-built and only minimally piloted (two test respondents), so its validity beyond acceptable internal consistency (α = .77 for both composites) is not established. Finally, the study covers a single small institution, which limits </w:t>
      </w:r>
      <w:proofErr w:type="spellStart"/>
      <w:r>
        <w:t>generalisability</w:t>
      </w:r>
      <w:proofErr w:type="spellEnd"/>
      <w:r>
        <w:t xml:space="preserve"> — although single-institution evidence was precisely the gap the study set out to fill.</w:t>
      </w:r>
    </w:p>
    <w:p w14:paraId="55CB2CE2" w14:textId="77777777" w:rsidR="006D6679" w:rsidRDefault="00000000">
      <w:pPr>
        <w:pStyle w:val="Heading2"/>
        <w:spacing w:before="220" w:after="120" w:line="360" w:lineRule="auto"/>
      </w:pPr>
      <w:bookmarkStart w:id="30" w:name="_Toc234495293"/>
      <w:r>
        <w:rPr>
          <w:b/>
          <w:bCs/>
          <w:color w:val="000000"/>
          <w:sz w:val="24"/>
          <w:szCs w:val="24"/>
        </w:rPr>
        <w:t>5.5 Implications</w:t>
      </w:r>
      <w:bookmarkEnd w:id="30"/>
    </w:p>
    <w:p w14:paraId="6E85BDE7" w14:textId="77777777" w:rsidR="006D6679" w:rsidRDefault="00000000">
      <w:pPr>
        <w:spacing w:after="120" w:line="360" w:lineRule="auto"/>
        <w:jc w:val="both"/>
      </w:pPr>
      <w:r>
        <w:t xml:space="preserve">The practical implications are straightforward and largely inexpensive. Because the dominant barrier is awareness, the highest-return improvements are promotional and structural rather than resource-intensive: earlier and more visible communication of opportunities (the top student priority, chosen by 38.5%), and a single central internship platform (chosen by 21.3%) so </w:t>
      </w:r>
      <w:r>
        <w:lastRenderedPageBreak/>
        <w:t xml:space="preserve">information does not depend on students noticing an email. Because service use is associated with higher readiness, raising </w:t>
      </w:r>
      <w:proofErr w:type="spellStart"/>
      <w:r>
        <w:t>utilisation</w:t>
      </w:r>
      <w:proofErr w:type="spellEnd"/>
      <w:r>
        <w:t xml:space="preserve"> is likely to be genuinely valuable rather than cosmetic. The second tier of improvements targets the weakest-rated services: introducing regular CV and interview preparation support, and building field-specific internship partnerships for Management and Mathematics students. For theory, the study adds a small-institution, non-Western data point confirming that the satisfaction–</w:t>
      </w:r>
      <w:proofErr w:type="spellStart"/>
      <w:r>
        <w:t>utilisation</w:t>
      </w:r>
      <w:proofErr w:type="spellEnd"/>
      <w:r>
        <w:t xml:space="preserve"> paradox and the engagement–readiness association both replicate outside the large university systems where they were first documented.</w:t>
      </w:r>
    </w:p>
    <w:p w14:paraId="1BD34506" w14:textId="77777777" w:rsidR="006D6679" w:rsidRDefault="00000000">
      <w:pPr>
        <w:pStyle w:val="Heading2"/>
        <w:spacing w:before="220" w:after="120" w:line="360" w:lineRule="auto"/>
      </w:pPr>
      <w:bookmarkStart w:id="31" w:name="_Toc234495294"/>
      <w:r>
        <w:rPr>
          <w:b/>
          <w:bCs/>
          <w:color w:val="000000"/>
          <w:sz w:val="24"/>
          <w:szCs w:val="24"/>
        </w:rPr>
        <w:t>5.6 Future research</w:t>
      </w:r>
      <w:bookmarkEnd w:id="31"/>
    </w:p>
    <w:p w14:paraId="130BC5A2" w14:textId="77777777" w:rsidR="006D6679" w:rsidRDefault="00000000">
      <w:pPr>
        <w:spacing w:after="120" w:line="360" w:lineRule="auto"/>
        <w:jc w:val="both"/>
      </w:pPr>
      <w:r>
        <w:t xml:space="preserve">Two follow-up studies would address the main limitations. First, a pre–post study measuring readiness before and after students use a specific service (for example, a mock-interview workshop) would test whether the association found here reflects a causal effect. Second, a stratified survey with larger Management and Mathematics subsamples — or short follow-up interviews with these students — would establish whether the field-relevance gap identified in the open-ended responses </w:t>
      </w:r>
      <w:proofErr w:type="spellStart"/>
      <w:r>
        <w:t>generalises</w:t>
      </w:r>
      <w:proofErr w:type="spellEnd"/>
      <w:r>
        <w:t xml:space="preserve"> beyond this sample.</w:t>
      </w:r>
    </w:p>
    <w:p w14:paraId="45A99225" w14:textId="77777777" w:rsidR="006D6679" w:rsidRDefault="00000000">
      <w:pPr>
        <w:pStyle w:val="Heading1"/>
        <w:spacing w:before="280" w:after="160" w:line="360" w:lineRule="auto"/>
      </w:pPr>
      <w:bookmarkStart w:id="32" w:name="_Toc234495295"/>
      <w:r>
        <w:rPr>
          <w:b/>
          <w:bCs/>
          <w:color w:val="000000"/>
          <w:sz w:val="28"/>
          <w:szCs w:val="28"/>
        </w:rPr>
        <w:t>6. Conclusion</w:t>
      </w:r>
      <w:bookmarkEnd w:id="32"/>
    </w:p>
    <w:p w14:paraId="15587B6C" w14:textId="77777777" w:rsidR="006D6679" w:rsidRDefault="00000000">
      <w:pPr>
        <w:spacing w:after="120" w:line="360" w:lineRule="auto"/>
        <w:jc w:val="both"/>
      </w:pPr>
      <w:r>
        <w:t>This study set out to answer how effective KIU undergraduate students perceive the university’s internship support services to be in helping them find, prepare for, and apply to internships. Using a cross-sectional survey of 122 students from the Computer Science, Management, and Mathematics schools, the study measured awareness, usage, satisfaction, and perceived internship readiness, and tested whether service users reported higher readiness than non-users.</w:t>
      </w:r>
    </w:p>
    <w:p w14:paraId="7E8399E0" w14:textId="77777777" w:rsidR="006D6679" w:rsidRDefault="00000000">
      <w:pPr>
        <w:spacing w:after="120" w:line="360" w:lineRule="auto"/>
        <w:jc w:val="both"/>
      </w:pPr>
      <w:r>
        <w:t>The answer is two-sided. On the one hand, the services appear to matter: students who used them reported significantly higher internship readiness than those who did not (</w:t>
      </w:r>
      <w:proofErr w:type="gramStart"/>
      <w:r>
        <w:t>t(</w:t>
      </w:r>
      <w:proofErr w:type="gramEnd"/>
      <w:r>
        <w:t>88.1) = 3.36, p = .001, d = 0.60), and awareness correlated positively with readiness. On the other hand, only 31.1% of students had used any service, nearly a third of non-users did not know the services existed, and users rated CV and interview preparation support as clearly inadequate. KIU’s internship support is therefore best described as promising but under-promoted and underdeveloped in practical preparation.</w:t>
      </w:r>
    </w:p>
    <w:p w14:paraId="19B316B2" w14:textId="77777777" w:rsidR="006D6679" w:rsidRDefault="00000000">
      <w:pPr>
        <w:spacing w:after="120" w:line="360" w:lineRule="auto"/>
        <w:jc w:val="both"/>
      </w:pPr>
      <w:r>
        <w:t>The study’s main recommendation is that KIU invest first in visibility — earlier communication and a central internship platform — and second in hands-on preparation and field-specific opportunities. Future research should test these improvements with a pre–post design to move from association to causal evidence.</w:t>
      </w:r>
    </w:p>
    <w:p w14:paraId="067A68EF" w14:textId="77777777" w:rsidR="006D6679" w:rsidRDefault="00000000">
      <w:pPr>
        <w:pStyle w:val="Heading1"/>
        <w:spacing w:before="280" w:after="160" w:line="360" w:lineRule="auto"/>
      </w:pPr>
      <w:bookmarkStart w:id="33" w:name="_Toc234495296"/>
      <w:r>
        <w:rPr>
          <w:b/>
          <w:bCs/>
          <w:color w:val="000000"/>
          <w:sz w:val="28"/>
          <w:szCs w:val="28"/>
        </w:rPr>
        <w:lastRenderedPageBreak/>
        <w:t>References</w:t>
      </w:r>
      <w:bookmarkEnd w:id="33"/>
    </w:p>
    <w:p w14:paraId="21184A21" w14:textId="77777777" w:rsidR="006D6679" w:rsidRDefault="00000000">
      <w:pPr>
        <w:spacing w:after="100" w:line="360" w:lineRule="auto"/>
        <w:ind w:left="480" w:hanging="480"/>
      </w:pPr>
      <w:r>
        <w:t>[1] M. Tomlinson, “Graduate employability: A review of conceptual and empirical themes,” Higher Education Policy, vol. 25, no. 4, pp. 407–431, Dec. 2012.</w:t>
      </w:r>
    </w:p>
    <w:p w14:paraId="3BE09B65" w14:textId="77777777" w:rsidR="006D6679" w:rsidRDefault="00000000">
      <w:pPr>
        <w:spacing w:after="100" w:line="360" w:lineRule="auto"/>
        <w:ind w:left="480" w:hanging="480"/>
      </w:pPr>
      <w:r>
        <w:t>[2] Office for Students, “Preparing for the next steps after higher education: Student insight report,” Office for Students, 2025. [Online]. Available: https://www.officeforstudents.org.uk/publications/preparing-for-the-next-steps-after-higher-education-student-insight-report/</w:t>
      </w:r>
    </w:p>
    <w:p w14:paraId="32B64F81" w14:textId="77777777" w:rsidR="006D6679" w:rsidRDefault="00000000">
      <w:pPr>
        <w:spacing w:after="100" w:line="360" w:lineRule="auto"/>
        <w:ind w:left="480" w:hanging="480"/>
      </w:pPr>
      <w:r>
        <w:t>[3] M. T. Hora, M. Wolfgram, and A. B. Chhabra, “The role of career services programs and sociocultural factors in student career development,” Wisconsin Center for Education Research, Working Paper No. 2018-8, 2018.</w:t>
      </w:r>
    </w:p>
    <w:p w14:paraId="1714CB3A" w14:textId="77777777" w:rsidR="006D6679" w:rsidRDefault="00000000">
      <w:pPr>
        <w:spacing w:after="100" w:line="360" w:lineRule="auto"/>
        <w:ind w:left="480" w:hanging="480"/>
      </w:pPr>
      <w:r>
        <w:t>[4] M. Yorke and P. T. Knight, Embedding Employability into the Curriculum: Learning &amp; Employability Series One. York, UK: The Higher Education Academy, 2006.</w:t>
      </w:r>
    </w:p>
    <w:p w14:paraId="13C52EDD" w14:textId="77777777" w:rsidR="006D6679" w:rsidRDefault="00000000">
      <w:pPr>
        <w:spacing w:after="100" w:line="360" w:lineRule="auto"/>
        <w:ind w:left="480" w:hanging="480"/>
      </w:pPr>
      <w:r>
        <w:t>[5] University of Southampton, “The Graduate Capital Model,” Careers, Employability and Student Enterprise. [Online]. Available: https://www.southampton.ac.uk/careers/staff/employability-exchange/curriculum-development.page</w:t>
      </w:r>
    </w:p>
    <w:p w14:paraId="0EA39002" w14:textId="77777777" w:rsidR="006D6679" w:rsidRDefault="00000000">
      <w:pPr>
        <w:spacing w:after="100" w:line="360" w:lineRule="auto"/>
        <w:ind w:left="480" w:hanging="480"/>
      </w:pPr>
      <w:r>
        <w:t xml:space="preserve">[6] L. Dacre Pool, “Revisiting the </w:t>
      </w:r>
      <w:proofErr w:type="spellStart"/>
      <w:r>
        <w:t>CareerEDGE</w:t>
      </w:r>
      <w:proofErr w:type="spellEnd"/>
      <w:r>
        <w:t xml:space="preserve"> model of graduate employability,” Journal of the National Institute for Career Education and Counselling, vol. 44, no. 1, pp. 51–56, 2020.</w:t>
      </w:r>
    </w:p>
    <w:p w14:paraId="33D84749" w14:textId="77777777" w:rsidR="006D6679" w:rsidRDefault="00000000">
      <w:pPr>
        <w:spacing w:after="100" w:line="360" w:lineRule="auto"/>
        <w:ind w:left="480" w:hanging="480"/>
      </w:pPr>
      <w:r>
        <w:t xml:space="preserve">[7] L. Dacre Pool, “Developing graduate employability: The </w:t>
      </w:r>
      <w:proofErr w:type="spellStart"/>
      <w:r>
        <w:t>CareerEDGE</w:t>
      </w:r>
      <w:proofErr w:type="spellEnd"/>
      <w:r>
        <w:t xml:space="preserve"> model and the importance of emotional intelligence,” in Graduate Employability in Context, M. Tomlinson and L. Holmes, Eds. London, UK: Palgrave Macmillan, 2017, pp. 317–338.</w:t>
      </w:r>
    </w:p>
    <w:p w14:paraId="0B339BF5" w14:textId="77777777" w:rsidR="006D6679" w:rsidRDefault="00000000">
      <w:pPr>
        <w:spacing w:after="100" w:line="360" w:lineRule="auto"/>
        <w:ind w:left="480" w:hanging="480"/>
      </w:pPr>
      <w:r>
        <w:t xml:space="preserve">[8] C. Hughes and D. </w:t>
      </w:r>
      <w:proofErr w:type="spellStart"/>
      <w:r>
        <w:t>Kilcommins</w:t>
      </w:r>
      <w:proofErr w:type="spellEnd"/>
      <w:r>
        <w:t>, “Employer collaboration in developing graduate employability: A pilot study in Ireland,” Technological University Dublin, 2023.</w:t>
      </w:r>
    </w:p>
    <w:p w14:paraId="55F2B0B6" w14:textId="77777777" w:rsidR="006D6679" w:rsidRDefault="00000000">
      <w:pPr>
        <w:spacing w:after="100" w:line="360" w:lineRule="auto"/>
        <w:ind w:left="480" w:hanging="480"/>
      </w:pPr>
      <w:r>
        <w:t>[9] R. W. Lent, S. D. Brown, and G. Hackett, “Social cognitive career theory,” in Career Choice and Development, 4th ed., D. Brown, Ed. San Francisco, CA, USA: Jossey-Bass, 2002, pp. 255–311.</w:t>
      </w:r>
    </w:p>
    <w:p w14:paraId="5A72247C" w14:textId="77777777" w:rsidR="006D6679" w:rsidRDefault="00000000">
      <w:pPr>
        <w:spacing w:after="100" w:line="360" w:lineRule="auto"/>
        <w:ind w:left="480" w:hanging="480"/>
      </w:pPr>
      <w:r>
        <w:t xml:space="preserve">[10] J. Gault, J. Redington, and T. Schlager, “Undergraduate business internships and career success: Are they </w:t>
      </w:r>
      <w:proofErr w:type="gramStart"/>
      <w:r>
        <w:t>related?,</w:t>
      </w:r>
      <w:proofErr w:type="gramEnd"/>
      <w:r>
        <w:t>” Journal of Marketing Education, vol. 22, no. 1, pp. 45–53, 2000.</w:t>
      </w:r>
    </w:p>
    <w:p w14:paraId="67EE983D" w14:textId="77777777" w:rsidR="006D6679" w:rsidRDefault="00000000">
      <w:pPr>
        <w:spacing w:after="100" w:line="360" w:lineRule="auto"/>
        <w:ind w:left="480" w:hanging="480"/>
      </w:pPr>
      <w:r>
        <w:lastRenderedPageBreak/>
        <w:t>[11] National Association of Colleges and Employers, “What is career readiness?” NACE. [Online]. Available: https://www.naceweb.org/career-readiness/competencies/career-readiness-defined</w:t>
      </w:r>
    </w:p>
    <w:p w14:paraId="47534B47" w14:textId="77777777" w:rsidR="006D6679" w:rsidRDefault="00000000">
      <w:pPr>
        <w:spacing w:after="100" w:line="360" w:lineRule="auto"/>
        <w:ind w:left="480" w:hanging="480"/>
      </w:pPr>
      <w:r>
        <w:t>[12] D. Jackson, “Employability skill development in work-integrated learning: Barriers and best practice,” Studies in Higher Education, vol. 40, no. 2, pp. 350–367, 2015.</w:t>
      </w:r>
    </w:p>
    <w:p w14:paraId="617BCAF1" w14:textId="77777777" w:rsidR="006D6679" w:rsidRDefault="00000000">
      <w:pPr>
        <w:spacing w:after="100" w:line="360" w:lineRule="auto"/>
        <w:ind w:left="480" w:hanging="480"/>
      </w:pPr>
      <w:r>
        <w:t>[13] M. T. Hora, Z. Chen, E. Parrott, and P. Her, “Closing the doors of opportunity: How financial, sociocultural, and institutional barriers intersect to inhibit participation in college internships,” Wisconsin Center for Education Research, Working Paper No. 2019-8, 2019.</w:t>
      </w:r>
    </w:p>
    <w:p w14:paraId="65256BD2" w14:textId="77777777" w:rsidR="006D6679" w:rsidRDefault="00000000">
      <w:pPr>
        <w:spacing w:after="100" w:line="360" w:lineRule="auto"/>
        <w:ind w:left="480" w:hanging="480"/>
      </w:pPr>
      <w:r>
        <w:t xml:space="preserve">[14] “Levelling the playing field? How social class and internships influence perceived employability amongst UK </w:t>
      </w:r>
      <w:proofErr w:type="gramStart"/>
      <w:r>
        <w:t>university</w:t>
      </w:r>
      <w:proofErr w:type="gramEnd"/>
      <w:r>
        <w:t xml:space="preserve"> students,” Studies in Higher Education, 2025, </w:t>
      </w:r>
      <w:proofErr w:type="spellStart"/>
      <w:r>
        <w:t>doi</w:t>
      </w:r>
      <w:proofErr w:type="spellEnd"/>
      <w:r>
        <w:t>: 10.1080/03075079.2025.2601096.</w:t>
      </w:r>
    </w:p>
    <w:p w14:paraId="67A6432F" w14:textId="77777777" w:rsidR="006D6679" w:rsidRDefault="00000000">
      <w:pPr>
        <w:spacing w:after="100" w:line="360" w:lineRule="auto"/>
        <w:ind w:left="480" w:hanging="480"/>
      </w:pPr>
      <w:r>
        <w:t>[15] “Empirical research on student satisfaction with career services in public universities,” 2024. [Online]. Available: https://www.researchgate.net/publication/384848789</w:t>
      </w:r>
    </w:p>
    <w:p w14:paraId="706C517D" w14:textId="77777777" w:rsidR="006D6679" w:rsidRDefault="00000000">
      <w:pPr>
        <w:spacing w:after="100" w:line="360" w:lineRule="auto"/>
        <w:ind w:left="480" w:hanging="480"/>
      </w:pPr>
      <w:r>
        <w:t>[16] “The impact of service quality on students’ satisfaction in higher education: An empirical investigation,” International Journal of Research and Innovation in Social Science, 2024.</w:t>
      </w:r>
    </w:p>
    <w:p w14:paraId="067F2C70" w14:textId="77777777" w:rsidR="006D6679" w:rsidRDefault="00000000">
      <w:pPr>
        <w:spacing w:after="100" w:line="360" w:lineRule="auto"/>
        <w:ind w:left="480" w:hanging="480"/>
      </w:pPr>
      <w:r>
        <w:t xml:space="preserve">[17] </w:t>
      </w:r>
      <w:proofErr w:type="spellStart"/>
      <w:r>
        <w:t>Writesea</w:t>
      </w:r>
      <w:proofErr w:type="spellEnd"/>
      <w:r>
        <w:t>, “The 2026 student career readiness report — Trends every university must know,” 2026. [Online]. Available: https://writesea.com/blog/the-2026-student-career-readiness-report/</w:t>
      </w:r>
    </w:p>
    <w:p w14:paraId="57D87A43" w14:textId="77777777" w:rsidR="006D6679" w:rsidRDefault="00000000">
      <w:r>
        <w:br w:type="page"/>
      </w:r>
    </w:p>
    <w:p w14:paraId="26D7314F" w14:textId="77777777" w:rsidR="006D6679" w:rsidRDefault="00000000">
      <w:pPr>
        <w:pStyle w:val="Heading1"/>
        <w:spacing w:before="280" w:after="160" w:line="360" w:lineRule="auto"/>
      </w:pPr>
      <w:bookmarkStart w:id="34" w:name="_Toc234495297"/>
      <w:r>
        <w:rPr>
          <w:b/>
          <w:bCs/>
          <w:color w:val="000000"/>
          <w:sz w:val="28"/>
          <w:szCs w:val="28"/>
        </w:rPr>
        <w:lastRenderedPageBreak/>
        <w:t>Appendix A: Survey Questionnaire</w:t>
      </w:r>
      <w:bookmarkEnd w:id="34"/>
    </w:p>
    <w:p w14:paraId="288B7CCA" w14:textId="77777777" w:rsidR="006D6679" w:rsidRDefault="00000000">
      <w:pPr>
        <w:spacing w:after="120" w:line="360" w:lineRule="auto"/>
        <w:jc w:val="both"/>
      </w:pPr>
      <w:r>
        <w:rPr>
          <w:b/>
          <w:bCs/>
        </w:rPr>
        <w:t xml:space="preserve">Title: </w:t>
      </w:r>
      <w:r>
        <w:t>Student Perceptions of KIU Internship Support Services. The form used Google Forms section branching: non-consenting respondents were routed to a thank-you screen; Section 5A was shown only to respondents who answered “Yes” to Q7; Section 5B was shown only to those who answered “No”. All Likert items used a 1 = Strongly disagree to 5 = Strongly agree scale.</w:t>
      </w:r>
    </w:p>
    <w:p w14:paraId="0A3F2A1A" w14:textId="77777777" w:rsidR="006D6679" w:rsidRDefault="00000000">
      <w:pPr>
        <w:pStyle w:val="Heading2"/>
        <w:spacing w:before="220" w:after="120" w:line="360" w:lineRule="auto"/>
      </w:pPr>
      <w:bookmarkStart w:id="35" w:name="_Toc234495298"/>
      <w:r>
        <w:rPr>
          <w:b/>
          <w:bCs/>
          <w:color w:val="000000"/>
          <w:sz w:val="24"/>
          <w:szCs w:val="24"/>
        </w:rPr>
        <w:t>Section 1: Consent</w:t>
      </w:r>
      <w:bookmarkEnd w:id="35"/>
    </w:p>
    <w:p w14:paraId="343EDD52" w14:textId="77777777" w:rsidR="006D6679" w:rsidRDefault="00000000">
      <w:pPr>
        <w:spacing w:after="60" w:line="360" w:lineRule="auto"/>
      </w:pPr>
      <w:r>
        <w:t>1. Do you agree to participate in this survey? (Yes, I agree to participate / No, I do not agree to participate)</w:t>
      </w:r>
    </w:p>
    <w:p w14:paraId="6ABD5D44" w14:textId="77777777" w:rsidR="006D6679" w:rsidRDefault="00000000">
      <w:pPr>
        <w:pStyle w:val="Heading2"/>
        <w:spacing w:before="220" w:after="120" w:line="360" w:lineRule="auto"/>
      </w:pPr>
      <w:bookmarkStart w:id="36" w:name="_Toc234495299"/>
      <w:r>
        <w:rPr>
          <w:b/>
          <w:bCs/>
          <w:color w:val="000000"/>
          <w:sz w:val="24"/>
          <w:szCs w:val="24"/>
        </w:rPr>
        <w:t>Section 2: Academic Background</w:t>
      </w:r>
      <w:bookmarkEnd w:id="36"/>
    </w:p>
    <w:p w14:paraId="7DAFE8AB" w14:textId="77777777" w:rsidR="006D6679" w:rsidRDefault="00000000">
      <w:pPr>
        <w:spacing w:after="60" w:line="360" w:lineRule="auto"/>
      </w:pPr>
      <w:r>
        <w:t>2. What is your year of study? (2nd year / 3rd year / 4th year)</w:t>
      </w:r>
    </w:p>
    <w:p w14:paraId="607DE8B2" w14:textId="77777777" w:rsidR="006D6679" w:rsidRDefault="00000000">
      <w:pPr>
        <w:spacing w:after="60" w:line="360" w:lineRule="auto"/>
      </w:pPr>
      <w:r>
        <w:t>3. Which school are you enrolled in? (Computer Science / Management / Mathematics)</w:t>
      </w:r>
    </w:p>
    <w:p w14:paraId="5954E92D" w14:textId="77777777" w:rsidR="006D6679" w:rsidRDefault="00000000">
      <w:pPr>
        <w:pStyle w:val="Heading2"/>
        <w:spacing w:before="220" w:after="120" w:line="360" w:lineRule="auto"/>
      </w:pPr>
      <w:bookmarkStart w:id="37" w:name="_Toc234495300"/>
      <w:r>
        <w:rPr>
          <w:b/>
          <w:bCs/>
          <w:color w:val="000000"/>
          <w:sz w:val="24"/>
          <w:szCs w:val="24"/>
        </w:rPr>
        <w:t>Section 3: Internship Experience</w:t>
      </w:r>
      <w:bookmarkEnd w:id="37"/>
    </w:p>
    <w:p w14:paraId="29824E7F" w14:textId="77777777" w:rsidR="006D6679" w:rsidRDefault="00000000">
      <w:pPr>
        <w:spacing w:after="60" w:line="360" w:lineRule="auto"/>
      </w:pPr>
      <w:r>
        <w:t>4. Have you searched for an internship during your undergraduate studies? (Yes / No)</w:t>
      </w:r>
    </w:p>
    <w:p w14:paraId="070A2E3D" w14:textId="77777777" w:rsidR="006D6679" w:rsidRDefault="00000000">
      <w:pPr>
        <w:spacing w:after="60" w:line="360" w:lineRule="auto"/>
      </w:pPr>
      <w:r>
        <w:t>5. Have you completed an internship during your undergraduate studies? (Yes / No)</w:t>
      </w:r>
    </w:p>
    <w:p w14:paraId="2C9C944E" w14:textId="77777777" w:rsidR="006D6679" w:rsidRDefault="00000000">
      <w:pPr>
        <w:pStyle w:val="Heading2"/>
        <w:spacing w:before="220" w:after="120" w:line="360" w:lineRule="auto"/>
      </w:pPr>
      <w:bookmarkStart w:id="38" w:name="_Toc234495301"/>
      <w:r>
        <w:rPr>
          <w:b/>
          <w:bCs/>
          <w:color w:val="000000"/>
          <w:sz w:val="24"/>
          <w:szCs w:val="24"/>
        </w:rPr>
        <w:t>Section 4: Awareness and Usage</w:t>
      </w:r>
      <w:bookmarkEnd w:id="38"/>
    </w:p>
    <w:p w14:paraId="0DF24C61" w14:textId="77777777" w:rsidR="006D6679" w:rsidRDefault="00000000">
      <w:pPr>
        <w:spacing w:after="60" w:line="360" w:lineRule="auto"/>
      </w:pPr>
      <w:r>
        <w:t>6. I am aware of KIU internship support services. (1–5)</w:t>
      </w:r>
    </w:p>
    <w:p w14:paraId="2368E920" w14:textId="77777777" w:rsidR="006D6679" w:rsidRDefault="00000000">
      <w:pPr>
        <w:spacing w:after="60" w:line="360" w:lineRule="auto"/>
      </w:pPr>
      <w:r>
        <w:t>7. Have you used any KIU internship support services? (Yes / No)</w:t>
      </w:r>
    </w:p>
    <w:p w14:paraId="0AC439D5" w14:textId="77777777" w:rsidR="006D6679" w:rsidRDefault="00000000">
      <w:pPr>
        <w:pStyle w:val="Heading2"/>
        <w:spacing w:before="220" w:after="120" w:line="360" w:lineRule="auto"/>
      </w:pPr>
      <w:bookmarkStart w:id="39" w:name="_Toc234495302"/>
      <w:r>
        <w:rPr>
          <w:b/>
          <w:bCs/>
          <w:color w:val="000000"/>
          <w:sz w:val="24"/>
          <w:szCs w:val="24"/>
        </w:rPr>
        <w:t>Section 5A: Support Use Details (users only)</w:t>
      </w:r>
      <w:bookmarkEnd w:id="39"/>
    </w:p>
    <w:p w14:paraId="24EB659D" w14:textId="77777777" w:rsidR="006D6679" w:rsidRDefault="00000000">
      <w:pPr>
        <w:spacing w:after="60" w:line="360" w:lineRule="auto"/>
      </w:pPr>
      <w:r>
        <w:t>8. Which KIU internship support services have you used? Select all that apply. (Internship information or announcements / CV or resume support / Application support / Interview preparation / Employer or alumni events / One-to-one advising / Other)</w:t>
      </w:r>
    </w:p>
    <w:p w14:paraId="75A60B94" w14:textId="77777777" w:rsidR="006D6679" w:rsidRDefault="00000000">
      <w:pPr>
        <w:spacing w:after="60" w:line="360" w:lineRule="auto"/>
      </w:pPr>
      <w:r>
        <w:t>9. Internship-related information is easy to find. (1–5)</w:t>
      </w:r>
    </w:p>
    <w:p w14:paraId="7E171AE8" w14:textId="77777777" w:rsidR="006D6679" w:rsidRDefault="00000000">
      <w:pPr>
        <w:spacing w:after="60" w:line="360" w:lineRule="auto"/>
      </w:pPr>
      <w:r>
        <w:t>10. Communication about internship opportunities is clear and timely. (1–5)</w:t>
      </w:r>
    </w:p>
    <w:p w14:paraId="57703715" w14:textId="77777777" w:rsidR="006D6679" w:rsidRDefault="00000000">
      <w:pPr>
        <w:spacing w:after="60" w:line="360" w:lineRule="auto"/>
      </w:pPr>
      <w:r>
        <w:t>11. KIU provides useful support for internship applications. (1–5)</w:t>
      </w:r>
    </w:p>
    <w:p w14:paraId="06FE03C3" w14:textId="77777777" w:rsidR="006D6679" w:rsidRDefault="00000000">
      <w:pPr>
        <w:spacing w:after="60" w:line="360" w:lineRule="auto"/>
      </w:pPr>
      <w:r>
        <w:t>12. KIU provides useful CV or resume support. (1–5)</w:t>
      </w:r>
    </w:p>
    <w:p w14:paraId="59E30F3A" w14:textId="77777777" w:rsidR="006D6679" w:rsidRDefault="00000000">
      <w:pPr>
        <w:spacing w:after="60" w:line="360" w:lineRule="auto"/>
      </w:pPr>
      <w:r>
        <w:t>13. KIU provides useful interview preparation support. (1–5)</w:t>
      </w:r>
    </w:p>
    <w:p w14:paraId="76CC1788" w14:textId="77777777" w:rsidR="006D6679" w:rsidRDefault="00000000">
      <w:pPr>
        <w:spacing w:after="60" w:line="360" w:lineRule="auto"/>
      </w:pPr>
      <w:r>
        <w:t>14. KIU provides helpful employer or industry connections. (1–5)</w:t>
      </w:r>
    </w:p>
    <w:p w14:paraId="0EAFB917" w14:textId="77777777" w:rsidR="006D6679" w:rsidRDefault="00000000">
      <w:pPr>
        <w:spacing w:after="60" w:line="360" w:lineRule="auto"/>
      </w:pPr>
      <w:r>
        <w:t>15. Internship support services are easy to access. (1–5)</w:t>
      </w:r>
    </w:p>
    <w:p w14:paraId="065C646D" w14:textId="77777777" w:rsidR="006D6679" w:rsidRDefault="00000000">
      <w:pPr>
        <w:spacing w:after="60" w:line="360" w:lineRule="auto"/>
      </w:pPr>
      <w:r>
        <w:lastRenderedPageBreak/>
        <w:t>16. Overall, I am satisfied with KIU internship support services. (1–5)</w:t>
      </w:r>
    </w:p>
    <w:p w14:paraId="21855E80" w14:textId="77777777" w:rsidR="006D6679" w:rsidRDefault="00000000">
      <w:pPr>
        <w:spacing w:after="60" w:line="360" w:lineRule="auto"/>
      </w:pPr>
      <w:r>
        <w:t>17. KIU support services have improved my internship readiness. (1–5)</w:t>
      </w:r>
    </w:p>
    <w:p w14:paraId="1487111F" w14:textId="77777777" w:rsidR="006D6679" w:rsidRDefault="00000000">
      <w:pPr>
        <w:pStyle w:val="Heading2"/>
        <w:spacing w:before="220" w:after="120" w:line="360" w:lineRule="auto"/>
      </w:pPr>
      <w:bookmarkStart w:id="40" w:name="_Toc234495303"/>
      <w:r>
        <w:rPr>
          <w:b/>
          <w:bCs/>
          <w:color w:val="000000"/>
          <w:sz w:val="24"/>
          <w:szCs w:val="24"/>
        </w:rPr>
        <w:t>Section 5B: Non-Use Reason (non-users only)</w:t>
      </w:r>
      <w:bookmarkEnd w:id="40"/>
    </w:p>
    <w:p w14:paraId="1CA883B8" w14:textId="77777777" w:rsidR="006D6679" w:rsidRDefault="00000000">
      <w:pPr>
        <w:spacing w:after="60" w:line="360" w:lineRule="auto"/>
      </w:pPr>
      <w:r>
        <w:t>18. What is the main reason you have not used KIU internship support services? (I did not know the services existed / I knew about them but did not need them / I did not know how to access them / The available services did not seem relevant to my field / I planned to use them later / Other)</w:t>
      </w:r>
    </w:p>
    <w:p w14:paraId="07D1D8D4" w14:textId="77777777" w:rsidR="006D6679" w:rsidRDefault="00000000">
      <w:pPr>
        <w:pStyle w:val="Heading2"/>
        <w:spacing w:before="220" w:after="120" w:line="360" w:lineRule="auto"/>
      </w:pPr>
      <w:bookmarkStart w:id="41" w:name="_Toc234495304"/>
      <w:r>
        <w:rPr>
          <w:b/>
          <w:bCs/>
          <w:color w:val="000000"/>
          <w:sz w:val="24"/>
          <w:szCs w:val="24"/>
        </w:rPr>
        <w:t>Section 6: Internship Readiness (all respondents)</w:t>
      </w:r>
      <w:bookmarkEnd w:id="41"/>
    </w:p>
    <w:p w14:paraId="1877EC39" w14:textId="77777777" w:rsidR="006D6679" w:rsidRDefault="00000000">
      <w:pPr>
        <w:spacing w:after="60" w:line="360" w:lineRule="auto"/>
      </w:pPr>
      <w:r>
        <w:t>19. I feel confident finding internship opportunities. (1–5)</w:t>
      </w:r>
    </w:p>
    <w:p w14:paraId="4BAE0AD1" w14:textId="77777777" w:rsidR="006D6679" w:rsidRDefault="00000000">
      <w:pPr>
        <w:spacing w:after="60" w:line="360" w:lineRule="auto"/>
      </w:pPr>
      <w:r>
        <w:t>20. I feel confident preparing a strong CV or resume. (1–5)</w:t>
      </w:r>
    </w:p>
    <w:p w14:paraId="6EE1D208" w14:textId="77777777" w:rsidR="006D6679" w:rsidRDefault="00000000">
      <w:pPr>
        <w:spacing w:after="60" w:line="360" w:lineRule="auto"/>
      </w:pPr>
      <w:r>
        <w:t>21. I feel confident preparing for internship interviews. (1–5)</w:t>
      </w:r>
    </w:p>
    <w:p w14:paraId="68438280" w14:textId="77777777" w:rsidR="006D6679" w:rsidRDefault="00000000">
      <w:pPr>
        <w:spacing w:after="60" w:line="360" w:lineRule="auto"/>
      </w:pPr>
      <w:r>
        <w:t>22. I understand what employers expect from interns. (1–5)</w:t>
      </w:r>
    </w:p>
    <w:p w14:paraId="00F2639D" w14:textId="77777777" w:rsidR="006D6679" w:rsidRDefault="00000000">
      <w:pPr>
        <w:pStyle w:val="Heading2"/>
        <w:spacing w:before="220" w:after="120" w:line="360" w:lineRule="auto"/>
      </w:pPr>
      <w:bookmarkStart w:id="42" w:name="_Toc234495305"/>
      <w:r>
        <w:rPr>
          <w:b/>
          <w:bCs/>
          <w:color w:val="000000"/>
          <w:sz w:val="24"/>
          <w:szCs w:val="24"/>
        </w:rPr>
        <w:t>Section 7: Improvement Priority</w:t>
      </w:r>
      <w:bookmarkEnd w:id="42"/>
    </w:p>
    <w:p w14:paraId="6DE41BDB" w14:textId="77777777" w:rsidR="006D6679" w:rsidRDefault="00000000">
      <w:pPr>
        <w:spacing w:after="60" w:line="360" w:lineRule="auto"/>
      </w:pPr>
      <w:r>
        <w:t>23. Which improvement would help students the most? (Earlier communication about internship opportunities / One central internship information platform / More CV or resume support / More mock interview practice / More employer and alumni networking events / More school-specific internship guidance / Other)</w:t>
      </w:r>
    </w:p>
    <w:p w14:paraId="630D85A3" w14:textId="77777777" w:rsidR="006D6679" w:rsidRDefault="00000000">
      <w:pPr>
        <w:pStyle w:val="Heading2"/>
        <w:spacing w:before="220" w:after="120" w:line="360" w:lineRule="auto"/>
      </w:pPr>
      <w:bookmarkStart w:id="43" w:name="_Toc234495306"/>
      <w:r>
        <w:rPr>
          <w:b/>
          <w:bCs/>
          <w:color w:val="000000"/>
          <w:sz w:val="24"/>
          <w:szCs w:val="24"/>
        </w:rPr>
        <w:t>Section 8: Open-Ended Questions (optional)</w:t>
      </w:r>
      <w:bookmarkEnd w:id="43"/>
    </w:p>
    <w:p w14:paraId="18CCA4F2" w14:textId="77777777" w:rsidR="006D6679" w:rsidRDefault="00000000">
      <w:pPr>
        <w:spacing w:after="60" w:line="360" w:lineRule="auto"/>
      </w:pPr>
      <w:r>
        <w:t>24. What is the biggest weakness of KIU internship support services?</w:t>
      </w:r>
    </w:p>
    <w:p w14:paraId="7DE08C83" w14:textId="77777777" w:rsidR="006D6679" w:rsidRDefault="00000000">
      <w:pPr>
        <w:spacing w:after="60" w:line="360" w:lineRule="auto"/>
      </w:pPr>
      <w:r>
        <w:t>25. What improvement would you suggest for KIU internship support services?</w:t>
      </w:r>
    </w:p>
    <w:p w14:paraId="2A7B6B10" w14:textId="77777777" w:rsidR="006D6679" w:rsidRDefault="00000000">
      <w:r>
        <w:br w:type="page"/>
      </w:r>
    </w:p>
    <w:p w14:paraId="5BC706D3" w14:textId="77777777" w:rsidR="006D6679" w:rsidRDefault="00000000">
      <w:pPr>
        <w:pStyle w:val="Heading1"/>
        <w:spacing w:before="280" w:after="160" w:line="360" w:lineRule="auto"/>
      </w:pPr>
      <w:bookmarkStart w:id="44" w:name="_Toc234495307"/>
      <w:r>
        <w:rPr>
          <w:b/>
          <w:bCs/>
          <w:color w:val="000000"/>
          <w:sz w:val="28"/>
          <w:szCs w:val="28"/>
        </w:rPr>
        <w:lastRenderedPageBreak/>
        <w:t>Appendix B: Informed Consent Text</w:t>
      </w:r>
      <w:bookmarkEnd w:id="44"/>
    </w:p>
    <w:p w14:paraId="7D5DA776" w14:textId="77777777" w:rsidR="006D6679" w:rsidRDefault="00000000">
      <w:pPr>
        <w:spacing w:after="120" w:line="360" w:lineRule="auto"/>
        <w:jc w:val="both"/>
      </w:pPr>
      <w:r>
        <w:t>The following text was shown at the start of the questionnaire.</w:t>
      </w:r>
    </w:p>
    <w:p w14:paraId="0CEE5FC4" w14:textId="77777777" w:rsidR="006D6679" w:rsidRDefault="00000000">
      <w:pPr>
        <w:spacing w:after="120" w:line="360" w:lineRule="auto"/>
        <w:jc w:val="both"/>
      </w:pPr>
      <w:r>
        <w:rPr>
          <w:i/>
          <w:iCs/>
        </w:rPr>
        <w:t>“We are conducting a student research project for the Basic Research Methods and Tools course. The purpose of this survey is to understand how KIU undergraduate students perceive KIU’s internship support services. The survey should take approximately 5–7 minutes. Participation is voluntary, and you may stop before submitting the form. Please do not include your name, student ID, email address, phone number, or other identifying information in open-ended responses. Your answers will be used only for academic purposes and reported in summary form.”</w:t>
      </w:r>
    </w:p>
    <w:p w14:paraId="2FDCAC75" w14:textId="77777777" w:rsidR="006D6679" w:rsidRDefault="00000000">
      <w:pPr>
        <w:spacing w:after="120" w:line="360" w:lineRule="auto"/>
        <w:jc w:val="both"/>
      </w:pPr>
      <w:r>
        <w:t>Respondents indicated consent by selecting “Yes, I agree to participate” on the first question. Respondents who selected “No” were routed directly to a thank-you screen and the form was submitted without collecting further data.</w:t>
      </w:r>
    </w:p>
    <w:p w14:paraId="3FD0DE91" w14:textId="77777777" w:rsidR="006D6679" w:rsidRDefault="00000000">
      <w:r>
        <w:br w:type="page"/>
      </w:r>
    </w:p>
    <w:p w14:paraId="4AF74741" w14:textId="77777777" w:rsidR="006D6679" w:rsidRDefault="00000000">
      <w:pPr>
        <w:pStyle w:val="Heading1"/>
        <w:spacing w:before="280" w:after="160" w:line="360" w:lineRule="auto"/>
      </w:pPr>
      <w:bookmarkStart w:id="45" w:name="_Toc234495308"/>
      <w:r>
        <w:rPr>
          <w:b/>
          <w:bCs/>
          <w:color w:val="000000"/>
          <w:sz w:val="28"/>
          <w:szCs w:val="28"/>
        </w:rPr>
        <w:lastRenderedPageBreak/>
        <w:t>Appendix C: Additional Tables</w:t>
      </w:r>
      <w:bookmarkEnd w:id="45"/>
    </w:p>
    <w:p w14:paraId="0B7555A5" w14:textId="77777777" w:rsidR="006D6679" w:rsidRDefault="00000000">
      <w:pPr>
        <w:spacing w:before="120" w:after="120" w:line="360" w:lineRule="auto"/>
      </w:pPr>
      <w:r>
        <w:rPr>
          <w:b/>
          <w:bCs/>
          <w:sz w:val="22"/>
          <w:szCs w:val="22"/>
        </w:rPr>
        <w:t>Table C1. Specific services used among support users (n = 38; multiple selections allowed)</w:t>
      </w:r>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200"/>
        <w:gridCol w:w="1400"/>
        <w:gridCol w:w="1400"/>
      </w:tblGrid>
      <w:tr w:rsidR="006D6679" w14:paraId="30D67F4E" w14:textId="77777777">
        <w:tblPrEx>
          <w:tblCellMar>
            <w:top w:w="0" w:type="dxa"/>
            <w:bottom w:w="0" w:type="dxa"/>
          </w:tblCellMar>
        </w:tblPrEx>
        <w:tc>
          <w:tcPr>
            <w:tcW w:w="5200" w:type="dxa"/>
            <w:shd w:val="clear" w:color="auto" w:fill="E7E6E6"/>
          </w:tcPr>
          <w:p w14:paraId="2F6343EE" w14:textId="77777777" w:rsidR="006D6679" w:rsidRDefault="00000000">
            <w:pPr>
              <w:spacing w:before="20" w:after="20" w:line="276" w:lineRule="auto"/>
            </w:pPr>
            <w:r>
              <w:rPr>
                <w:b/>
                <w:bCs/>
                <w:sz w:val="22"/>
                <w:szCs w:val="22"/>
              </w:rPr>
              <w:t>Service</w:t>
            </w:r>
          </w:p>
        </w:tc>
        <w:tc>
          <w:tcPr>
            <w:tcW w:w="1400" w:type="dxa"/>
            <w:shd w:val="clear" w:color="auto" w:fill="E7E6E6"/>
          </w:tcPr>
          <w:p w14:paraId="0E31C2A7" w14:textId="77777777" w:rsidR="006D6679" w:rsidRDefault="00000000">
            <w:pPr>
              <w:spacing w:before="20" w:after="20" w:line="276" w:lineRule="auto"/>
            </w:pPr>
            <w:r>
              <w:rPr>
                <w:b/>
                <w:bCs/>
                <w:sz w:val="22"/>
                <w:szCs w:val="22"/>
              </w:rPr>
              <w:t>n</w:t>
            </w:r>
          </w:p>
        </w:tc>
        <w:tc>
          <w:tcPr>
            <w:tcW w:w="1400" w:type="dxa"/>
            <w:shd w:val="clear" w:color="auto" w:fill="E7E6E6"/>
          </w:tcPr>
          <w:p w14:paraId="26053532" w14:textId="77777777" w:rsidR="006D6679" w:rsidRDefault="00000000">
            <w:pPr>
              <w:spacing w:before="20" w:after="20" w:line="276" w:lineRule="auto"/>
            </w:pPr>
            <w:r>
              <w:rPr>
                <w:b/>
                <w:bCs/>
                <w:sz w:val="22"/>
                <w:szCs w:val="22"/>
              </w:rPr>
              <w:t>%</w:t>
            </w:r>
          </w:p>
        </w:tc>
      </w:tr>
      <w:tr w:rsidR="006D6679" w14:paraId="2E360FF3" w14:textId="77777777">
        <w:tblPrEx>
          <w:tblCellMar>
            <w:top w:w="0" w:type="dxa"/>
            <w:bottom w:w="0" w:type="dxa"/>
          </w:tblCellMar>
        </w:tblPrEx>
        <w:tc>
          <w:tcPr>
            <w:tcW w:w="5200" w:type="dxa"/>
          </w:tcPr>
          <w:p w14:paraId="2FDE9965" w14:textId="77777777" w:rsidR="006D6679" w:rsidRDefault="00000000">
            <w:pPr>
              <w:spacing w:before="20" w:after="20" w:line="276" w:lineRule="auto"/>
            </w:pPr>
            <w:r>
              <w:rPr>
                <w:sz w:val="22"/>
                <w:szCs w:val="22"/>
              </w:rPr>
              <w:t>Internship information or announcements</w:t>
            </w:r>
          </w:p>
        </w:tc>
        <w:tc>
          <w:tcPr>
            <w:tcW w:w="1400" w:type="dxa"/>
          </w:tcPr>
          <w:p w14:paraId="09AF8B2A" w14:textId="77777777" w:rsidR="006D6679" w:rsidRDefault="00000000">
            <w:pPr>
              <w:spacing w:before="20" w:after="20" w:line="276" w:lineRule="auto"/>
            </w:pPr>
            <w:r>
              <w:rPr>
                <w:sz w:val="22"/>
                <w:szCs w:val="22"/>
              </w:rPr>
              <w:t>36</w:t>
            </w:r>
          </w:p>
        </w:tc>
        <w:tc>
          <w:tcPr>
            <w:tcW w:w="1400" w:type="dxa"/>
          </w:tcPr>
          <w:p w14:paraId="2E7A8B12" w14:textId="77777777" w:rsidR="006D6679" w:rsidRDefault="00000000">
            <w:pPr>
              <w:spacing w:before="20" w:after="20" w:line="276" w:lineRule="auto"/>
            </w:pPr>
            <w:r>
              <w:rPr>
                <w:sz w:val="22"/>
                <w:szCs w:val="22"/>
              </w:rPr>
              <w:t>94.7</w:t>
            </w:r>
          </w:p>
        </w:tc>
      </w:tr>
      <w:tr w:rsidR="006D6679" w14:paraId="6200B123" w14:textId="77777777">
        <w:tblPrEx>
          <w:tblCellMar>
            <w:top w:w="0" w:type="dxa"/>
            <w:bottom w:w="0" w:type="dxa"/>
          </w:tblCellMar>
        </w:tblPrEx>
        <w:tc>
          <w:tcPr>
            <w:tcW w:w="5200" w:type="dxa"/>
          </w:tcPr>
          <w:p w14:paraId="6B0EB205" w14:textId="77777777" w:rsidR="006D6679" w:rsidRDefault="00000000">
            <w:pPr>
              <w:spacing w:before="20" w:after="20" w:line="276" w:lineRule="auto"/>
            </w:pPr>
            <w:r>
              <w:rPr>
                <w:sz w:val="22"/>
                <w:szCs w:val="22"/>
              </w:rPr>
              <w:t>One-to-one advising</w:t>
            </w:r>
          </w:p>
        </w:tc>
        <w:tc>
          <w:tcPr>
            <w:tcW w:w="1400" w:type="dxa"/>
          </w:tcPr>
          <w:p w14:paraId="2DD0545E" w14:textId="77777777" w:rsidR="006D6679" w:rsidRDefault="00000000">
            <w:pPr>
              <w:spacing w:before="20" w:after="20" w:line="276" w:lineRule="auto"/>
            </w:pPr>
            <w:r>
              <w:rPr>
                <w:sz w:val="22"/>
                <w:szCs w:val="22"/>
              </w:rPr>
              <w:t>5</w:t>
            </w:r>
          </w:p>
        </w:tc>
        <w:tc>
          <w:tcPr>
            <w:tcW w:w="1400" w:type="dxa"/>
          </w:tcPr>
          <w:p w14:paraId="2C415904" w14:textId="77777777" w:rsidR="006D6679" w:rsidRDefault="00000000">
            <w:pPr>
              <w:spacing w:before="20" w:after="20" w:line="276" w:lineRule="auto"/>
            </w:pPr>
            <w:r>
              <w:rPr>
                <w:sz w:val="22"/>
                <w:szCs w:val="22"/>
              </w:rPr>
              <w:t>13.2</w:t>
            </w:r>
          </w:p>
        </w:tc>
      </w:tr>
      <w:tr w:rsidR="006D6679" w14:paraId="2A4A0BE9" w14:textId="77777777">
        <w:tblPrEx>
          <w:tblCellMar>
            <w:top w:w="0" w:type="dxa"/>
            <w:bottom w:w="0" w:type="dxa"/>
          </w:tblCellMar>
        </w:tblPrEx>
        <w:tc>
          <w:tcPr>
            <w:tcW w:w="5200" w:type="dxa"/>
          </w:tcPr>
          <w:p w14:paraId="4F987EE1" w14:textId="77777777" w:rsidR="006D6679" w:rsidRDefault="00000000">
            <w:pPr>
              <w:spacing w:before="20" w:after="20" w:line="276" w:lineRule="auto"/>
            </w:pPr>
            <w:r>
              <w:rPr>
                <w:sz w:val="22"/>
                <w:szCs w:val="22"/>
              </w:rPr>
              <w:t>Employer or alumni events</w:t>
            </w:r>
          </w:p>
        </w:tc>
        <w:tc>
          <w:tcPr>
            <w:tcW w:w="1400" w:type="dxa"/>
          </w:tcPr>
          <w:p w14:paraId="28485E8C" w14:textId="77777777" w:rsidR="006D6679" w:rsidRDefault="00000000">
            <w:pPr>
              <w:spacing w:before="20" w:after="20" w:line="276" w:lineRule="auto"/>
            </w:pPr>
            <w:r>
              <w:rPr>
                <w:sz w:val="22"/>
                <w:szCs w:val="22"/>
              </w:rPr>
              <w:t>4</w:t>
            </w:r>
          </w:p>
        </w:tc>
        <w:tc>
          <w:tcPr>
            <w:tcW w:w="1400" w:type="dxa"/>
          </w:tcPr>
          <w:p w14:paraId="7B5FEE68" w14:textId="77777777" w:rsidR="006D6679" w:rsidRDefault="00000000">
            <w:pPr>
              <w:spacing w:before="20" w:after="20" w:line="276" w:lineRule="auto"/>
            </w:pPr>
            <w:r>
              <w:rPr>
                <w:sz w:val="22"/>
                <w:szCs w:val="22"/>
              </w:rPr>
              <w:t>10.5</w:t>
            </w:r>
          </w:p>
        </w:tc>
      </w:tr>
      <w:tr w:rsidR="006D6679" w14:paraId="0F180437" w14:textId="77777777">
        <w:tblPrEx>
          <w:tblCellMar>
            <w:top w:w="0" w:type="dxa"/>
            <w:bottom w:w="0" w:type="dxa"/>
          </w:tblCellMar>
        </w:tblPrEx>
        <w:tc>
          <w:tcPr>
            <w:tcW w:w="5200" w:type="dxa"/>
          </w:tcPr>
          <w:p w14:paraId="75B7B47F" w14:textId="77777777" w:rsidR="006D6679" w:rsidRDefault="00000000">
            <w:pPr>
              <w:spacing w:before="20" w:after="20" w:line="276" w:lineRule="auto"/>
            </w:pPr>
            <w:r>
              <w:rPr>
                <w:sz w:val="22"/>
                <w:szCs w:val="22"/>
              </w:rPr>
              <w:t>CV or resume support</w:t>
            </w:r>
          </w:p>
        </w:tc>
        <w:tc>
          <w:tcPr>
            <w:tcW w:w="1400" w:type="dxa"/>
          </w:tcPr>
          <w:p w14:paraId="23945796" w14:textId="77777777" w:rsidR="006D6679" w:rsidRDefault="00000000">
            <w:pPr>
              <w:spacing w:before="20" w:after="20" w:line="276" w:lineRule="auto"/>
            </w:pPr>
            <w:r>
              <w:rPr>
                <w:sz w:val="22"/>
                <w:szCs w:val="22"/>
              </w:rPr>
              <w:t>3</w:t>
            </w:r>
          </w:p>
        </w:tc>
        <w:tc>
          <w:tcPr>
            <w:tcW w:w="1400" w:type="dxa"/>
          </w:tcPr>
          <w:p w14:paraId="0CF0DB41" w14:textId="77777777" w:rsidR="006D6679" w:rsidRDefault="00000000">
            <w:pPr>
              <w:spacing w:before="20" w:after="20" w:line="276" w:lineRule="auto"/>
            </w:pPr>
            <w:r>
              <w:rPr>
                <w:sz w:val="22"/>
                <w:szCs w:val="22"/>
              </w:rPr>
              <w:t>7.9</w:t>
            </w:r>
          </w:p>
        </w:tc>
      </w:tr>
      <w:tr w:rsidR="006D6679" w14:paraId="3DE3E7C5" w14:textId="77777777">
        <w:tblPrEx>
          <w:tblCellMar>
            <w:top w:w="0" w:type="dxa"/>
            <w:bottom w:w="0" w:type="dxa"/>
          </w:tblCellMar>
        </w:tblPrEx>
        <w:tc>
          <w:tcPr>
            <w:tcW w:w="5200" w:type="dxa"/>
          </w:tcPr>
          <w:p w14:paraId="27665CEB" w14:textId="77777777" w:rsidR="006D6679" w:rsidRDefault="00000000">
            <w:pPr>
              <w:spacing w:before="20" w:after="20" w:line="276" w:lineRule="auto"/>
            </w:pPr>
            <w:r>
              <w:rPr>
                <w:sz w:val="22"/>
                <w:szCs w:val="22"/>
              </w:rPr>
              <w:t>Application support</w:t>
            </w:r>
          </w:p>
        </w:tc>
        <w:tc>
          <w:tcPr>
            <w:tcW w:w="1400" w:type="dxa"/>
          </w:tcPr>
          <w:p w14:paraId="1D0759EC" w14:textId="77777777" w:rsidR="006D6679" w:rsidRDefault="00000000">
            <w:pPr>
              <w:spacing w:before="20" w:after="20" w:line="276" w:lineRule="auto"/>
            </w:pPr>
            <w:r>
              <w:rPr>
                <w:sz w:val="22"/>
                <w:szCs w:val="22"/>
              </w:rPr>
              <w:t>3</w:t>
            </w:r>
          </w:p>
        </w:tc>
        <w:tc>
          <w:tcPr>
            <w:tcW w:w="1400" w:type="dxa"/>
          </w:tcPr>
          <w:p w14:paraId="3E116F34" w14:textId="77777777" w:rsidR="006D6679" w:rsidRDefault="00000000">
            <w:pPr>
              <w:spacing w:before="20" w:after="20" w:line="276" w:lineRule="auto"/>
            </w:pPr>
            <w:r>
              <w:rPr>
                <w:sz w:val="22"/>
                <w:szCs w:val="22"/>
              </w:rPr>
              <w:t>7.9</w:t>
            </w:r>
          </w:p>
        </w:tc>
      </w:tr>
      <w:tr w:rsidR="006D6679" w14:paraId="392A99D8" w14:textId="77777777">
        <w:tblPrEx>
          <w:tblCellMar>
            <w:top w:w="0" w:type="dxa"/>
            <w:bottom w:w="0" w:type="dxa"/>
          </w:tblCellMar>
        </w:tblPrEx>
        <w:tc>
          <w:tcPr>
            <w:tcW w:w="5200" w:type="dxa"/>
          </w:tcPr>
          <w:p w14:paraId="6B3F4E26" w14:textId="77777777" w:rsidR="006D6679" w:rsidRDefault="00000000">
            <w:pPr>
              <w:spacing w:before="20" w:after="20" w:line="276" w:lineRule="auto"/>
            </w:pPr>
            <w:r>
              <w:rPr>
                <w:sz w:val="22"/>
                <w:szCs w:val="22"/>
              </w:rPr>
              <w:t>Interview preparation</w:t>
            </w:r>
          </w:p>
        </w:tc>
        <w:tc>
          <w:tcPr>
            <w:tcW w:w="1400" w:type="dxa"/>
          </w:tcPr>
          <w:p w14:paraId="76A602FC" w14:textId="77777777" w:rsidR="006D6679" w:rsidRDefault="00000000">
            <w:pPr>
              <w:spacing w:before="20" w:after="20" w:line="276" w:lineRule="auto"/>
            </w:pPr>
            <w:r>
              <w:rPr>
                <w:sz w:val="22"/>
                <w:szCs w:val="22"/>
              </w:rPr>
              <w:t>2</w:t>
            </w:r>
          </w:p>
        </w:tc>
        <w:tc>
          <w:tcPr>
            <w:tcW w:w="1400" w:type="dxa"/>
          </w:tcPr>
          <w:p w14:paraId="59CD6F10" w14:textId="77777777" w:rsidR="006D6679" w:rsidRDefault="00000000">
            <w:pPr>
              <w:spacing w:before="20" w:after="20" w:line="276" w:lineRule="auto"/>
            </w:pPr>
            <w:r>
              <w:rPr>
                <w:sz w:val="22"/>
                <w:szCs w:val="22"/>
              </w:rPr>
              <w:t>5.3</w:t>
            </w:r>
          </w:p>
        </w:tc>
      </w:tr>
      <w:tr w:rsidR="006D6679" w14:paraId="39C7FD76" w14:textId="77777777">
        <w:tblPrEx>
          <w:tblCellMar>
            <w:top w:w="0" w:type="dxa"/>
            <w:bottom w:w="0" w:type="dxa"/>
          </w:tblCellMar>
        </w:tblPrEx>
        <w:tc>
          <w:tcPr>
            <w:tcW w:w="5200" w:type="dxa"/>
          </w:tcPr>
          <w:p w14:paraId="325CD5ED" w14:textId="77777777" w:rsidR="006D6679" w:rsidRDefault="00000000">
            <w:pPr>
              <w:spacing w:before="20" w:after="20" w:line="276" w:lineRule="auto"/>
            </w:pPr>
            <w:r>
              <w:rPr>
                <w:sz w:val="22"/>
                <w:szCs w:val="22"/>
              </w:rPr>
              <w:t>Other</w:t>
            </w:r>
          </w:p>
        </w:tc>
        <w:tc>
          <w:tcPr>
            <w:tcW w:w="1400" w:type="dxa"/>
          </w:tcPr>
          <w:p w14:paraId="2E87B280" w14:textId="77777777" w:rsidR="006D6679" w:rsidRDefault="00000000">
            <w:pPr>
              <w:spacing w:before="20" w:after="20" w:line="276" w:lineRule="auto"/>
            </w:pPr>
            <w:r>
              <w:rPr>
                <w:sz w:val="22"/>
                <w:szCs w:val="22"/>
              </w:rPr>
              <w:t>4</w:t>
            </w:r>
          </w:p>
        </w:tc>
        <w:tc>
          <w:tcPr>
            <w:tcW w:w="1400" w:type="dxa"/>
          </w:tcPr>
          <w:p w14:paraId="26D7A454" w14:textId="77777777" w:rsidR="006D6679" w:rsidRDefault="00000000">
            <w:pPr>
              <w:spacing w:before="20" w:after="20" w:line="276" w:lineRule="auto"/>
            </w:pPr>
            <w:r>
              <w:rPr>
                <w:sz w:val="22"/>
                <w:szCs w:val="22"/>
              </w:rPr>
              <w:t>10.5</w:t>
            </w:r>
          </w:p>
        </w:tc>
      </w:tr>
    </w:tbl>
    <w:p w14:paraId="485374A1" w14:textId="77777777" w:rsidR="006D6679" w:rsidRDefault="00000000">
      <w:pPr>
        <w:spacing w:before="120" w:after="120" w:line="360" w:lineRule="auto"/>
      </w:pPr>
      <w:r>
        <w:rPr>
          <w:b/>
          <w:bCs/>
          <w:sz w:val="22"/>
          <w:szCs w:val="22"/>
        </w:rPr>
        <w:t>Table C2. Reasons for non-use of support services (n = 84)</w:t>
      </w:r>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200"/>
        <w:gridCol w:w="1400"/>
        <w:gridCol w:w="1400"/>
      </w:tblGrid>
      <w:tr w:rsidR="006D6679" w14:paraId="4AD4C5DC" w14:textId="77777777">
        <w:tblPrEx>
          <w:tblCellMar>
            <w:top w:w="0" w:type="dxa"/>
            <w:bottom w:w="0" w:type="dxa"/>
          </w:tblCellMar>
        </w:tblPrEx>
        <w:tc>
          <w:tcPr>
            <w:tcW w:w="5200" w:type="dxa"/>
            <w:shd w:val="clear" w:color="auto" w:fill="E7E6E6"/>
          </w:tcPr>
          <w:p w14:paraId="44AE1962" w14:textId="77777777" w:rsidR="006D6679" w:rsidRDefault="00000000">
            <w:pPr>
              <w:spacing w:before="20" w:after="20" w:line="276" w:lineRule="auto"/>
            </w:pPr>
            <w:r>
              <w:rPr>
                <w:b/>
                <w:bCs/>
                <w:sz w:val="22"/>
                <w:szCs w:val="22"/>
              </w:rPr>
              <w:t>Reason</w:t>
            </w:r>
          </w:p>
        </w:tc>
        <w:tc>
          <w:tcPr>
            <w:tcW w:w="1400" w:type="dxa"/>
            <w:shd w:val="clear" w:color="auto" w:fill="E7E6E6"/>
          </w:tcPr>
          <w:p w14:paraId="661096B9" w14:textId="77777777" w:rsidR="006D6679" w:rsidRDefault="00000000">
            <w:pPr>
              <w:spacing w:before="20" w:after="20" w:line="276" w:lineRule="auto"/>
            </w:pPr>
            <w:r>
              <w:rPr>
                <w:b/>
                <w:bCs/>
                <w:sz w:val="22"/>
                <w:szCs w:val="22"/>
              </w:rPr>
              <w:t>n</w:t>
            </w:r>
          </w:p>
        </w:tc>
        <w:tc>
          <w:tcPr>
            <w:tcW w:w="1400" w:type="dxa"/>
            <w:shd w:val="clear" w:color="auto" w:fill="E7E6E6"/>
          </w:tcPr>
          <w:p w14:paraId="2573140C" w14:textId="77777777" w:rsidR="006D6679" w:rsidRDefault="00000000">
            <w:pPr>
              <w:spacing w:before="20" w:after="20" w:line="276" w:lineRule="auto"/>
            </w:pPr>
            <w:r>
              <w:rPr>
                <w:b/>
                <w:bCs/>
                <w:sz w:val="22"/>
                <w:szCs w:val="22"/>
              </w:rPr>
              <w:t>%</w:t>
            </w:r>
          </w:p>
        </w:tc>
      </w:tr>
      <w:tr w:rsidR="006D6679" w14:paraId="7B8A015E" w14:textId="77777777">
        <w:tblPrEx>
          <w:tblCellMar>
            <w:top w:w="0" w:type="dxa"/>
            <w:bottom w:w="0" w:type="dxa"/>
          </w:tblCellMar>
        </w:tblPrEx>
        <w:tc>
          <w:tcPr>
            <w:tcW w:w="5200" w:type="dxa"/>
          </w:tcPr>
          <w:p w14:paraId="5FB756EC" w14:textId="77777777" w:rsidR="006D6679" w:rsidRDefault="00000000">
            <w:pPr>
              <w:spacing w:before="20" w:after="20" w:line="276" w:lineRule="auto"/>
            </w:pPr>
            <w:r>
              <w:rPr>
                <w:sz w:val="22"/>
                <w:szCs w:val="22"/>
              </w:rPr>
              <w:t>I did not know the services existed</w:t>
            </w:r>
          </w:p>
        </w:tc>
        <w:tc>
          <w:tcPr>
            <w:tcW w:w="1400" w:type="dxa"/>
          </w:tcPr>
          <w:p w14:paraId="178E78F3" w14:textId="77777777" w:rsidR="006D6679" w:rsidRDefault="00000000">
            <w:pPr>
              <w:spacing w:before="20" w:after="20" w:line="276" w:lineRule="auto"/>
            </w:pPr>
            <w:r>
              <w:rPr>
                <w:sz w:val="22"/>
                <w:szCs w:val="22"/>
              </w:rPr>
              <w:t>27</w:t>
            </w:r>
          </w:p>
        </w:tc>
        <w:tc>
          <w:tcPr>
            <w:tcW w:w="1400" w:type="dxa"/>
          </w:tcPr>
          <w:p w14:paraId="4FC2B441" w14:textId="77777777" w:rsidR="006D6679" w:rsidRDefault="00000000">
            <w:pPr>
              <w:spacing w:before="20" w:after="20" w:line="276" w:lineRule="auto"/>
            </w:pPr>
            <w:r>
              <w:rPr>
                <w:sz w:val="22"/>
                <w:szCs w:val="22"/>
              </w:rPr>
              <w:t>32.1</w:t>
            </w:r>
          </w:p>
        </w:tc>
      </w:tr>
      <w:tr w:rsidR="006D6679" w14:paraId="02920451" w14:textId="77777777">
        <w:tblPrEx>
          <w:tblCellMar>
            <w:top w:w="0" w:type="dxa"/>
            <w:bottom w:w="0" w:type="dxa"/>
          </w:tblCellMar>
        </w:tblPrEx>
        <w:tc>
          <w:tcPr>
            <w:tcW w:w="5200" w:type="dxa"/>
          </w:tcPr>
          <w:p w14:paraId="78637898" w14:textId="77777777" w:rsidR="006D6679" w:rsidRDefault="00000000">
            <w:pPr>
              <w:spacing w:before="20" w:after="20" w:line="276" w:lineRule="auto"/>
            </w:pPr>
            <w:r>
              <w:rPr>
                <w:sz w:val="22"/>
                <w:szCs w:val="22"/>
              </w:rPr>
              <w:t>The available services did not seem relevant to my field</w:t>
            </w:r>
          </w:p>
        </w:tc>
        <w:tc>
          <w:tcPr>
            <w:tcW w:w="1400" w:type="dxa"/>
          </w:tcPr>
          <w:p w14:paraId="1B164C64" w14:textId="77777777" w:rsidR="006D6679" w:rsidRDefault="00000000">
            <w:pPr>
              <w:spacing w:before="20" w:after="20" w:line="276" w:lineRule="auto"/>
            </w:pPr>
            <w:r>
              <w:rPr>
                <w:sz w:val="22"/>
                <w:szCs w:val="22"/>
              </w:rPr>
              <w:t>18</w:t>
            </w:r>
          </w:p>
        </w:tc>
        <w:tc>
          <w:tcPr>
            <w:tcW w:w="1400" w:type="dxa"/>
          </w:tcPr>
          <w:p w14:paraId="417D64D5" w14:textId="77777777" w:rsidR="006D6679" w:rsidRDefault="00000000">
            <w:pPr>
              <w:spacing w:before="20" w:after="20" w:line="276" w:lineRule="auto"/>
            </w:pPr>
            <w:r>
              <w:rPr>
                <w:sz w:val="22"/>
                <w:szCs w:val="22"/>
              </w:rPr>
              <w:t>21.4</w:t>
            </w:r>
          </w:p>
        </w:tc>
      </w:tr>
      <w:tr w:rsidR="006D6679" w14:paraId="4EE82DC3" w14:textId="77777777">
        <w:tblPrEx>
          <w:tblCellMar>
            <w:top w:w="0" w:type="dxa"/>
            <w:bottom w:w="0" w:type="dxa"/>
          </w:tblCellMar>
        </w:tblPrEx>
        <w:tc>
          <w:tcPr>
            <w:tcW w:w="5200" w:type="dxa"/>
          </w:tcPr>
          <w:p w14:paraId="36BC4F19" w14:textId="77777777" w:rsidR="006D6679" w:rsidRDefault="00000000">
            <w:pPr>
              <w:spacing w:before="20" w:after="20" w:line="276" w:lineRule="auto"/>
            </w:pPr>
            <w:r>
              <w:rPr>
                <w:sz w:val="22"/>
                <w:szCs w:val="22"/>
              </w:rPr>
              <w:t>I did not know how to access them</w:t>
            </w:r>
          </w:p>
        </w:tc>
        <w:tc>
          <w:tcPr>
            <w:tcW w:w="1400" w:type="dxa"/>
          </w:tcPr>
          <w:p w14:paraId="71334A59" w14:textId="77777777" w:rsidR="006D6679" w:rsidRDefault="00000000">
            <w:pPr>
              <w:spacing w:before="20" w:after="20" w:line="276" w:lineRule="auto"/>
            </w:pPr>
            <w:r>
              <w:rPr>
                <w:sz w:val="22"/>
                <w:szCs w:val="22"/>
              </w:rPr>
              <w:t>16</w:t>
            </w:r>
          </w:p>
        </w:tc>
        <w:tc>
          <w:tcPr>
            <w:tcW w:w="1400" w:type="dxa"/>
          </w:tcPr>
          <w:p w14:paraId="57B82820" w14:textId="77777777" w:rsidR="006D6679" w:rsidRDefault="00000000">
            <w:pPr>
              <w:spacing w:before="20" w:after="20" w:line="276" w:lineRule="auto"/>
            </w:pPr>
            <w:r>
              <w:rPr>
                <w:sz w:val="22"/>
                <w:szCs w:val="22"/>
              </w:rPr>
              <w:t>19.0</w:t>
            </w:r>
          </w:p>
        </w:tc>
      </w:tr>
      <w:tr w:rsidR="006D6679" w14:paraId="230FAB54" w14:textId="77777777">
        <w:tblPrEx>
          <w:tblCellMar>
            <w:top w:w="0" w:type="dxa"/>
            <w:bottom w:w="0" w:type="dxa"/>
          </w:tblCellMar>
        </w:tblPrEx>
        <w:tc>
          <w:tcPr>
            <w:tcW w:w="5200" w:type="dxa"/>
          </w:tcPr>
          <w:p w14:paraId="3C307F63" w14:textId="77777777" w:rsidR="006D6679" w:rsidRDefault="00000000">
            <w:pPr>
              <w:spacing w:before="20" w:after="20" w:line="276" w:lineRule="auto"/>
            </w:pPr>
            <w:r>
              <w:rPr>
                <w:sz w:val="22"/>
                <w:szCs w:val="22"/>
              </w:rPr>
              <w:t>I planned to use them later</w:t>
            </w:r>
          </w:p>
        </w:tc>
        <w:tc>
          <w:tcPr>
            <w:tcW w:w="1400" w:type="dxa"/>
          </w:tcPr>
          <w:p w14:paraId="2B93C1DF" w14:textId="77777777" w:rsidR="006D6679" w:rsidRDefault="00000000">
            <w:pPr>
              <w:spacing w:before="20" w:after="20" w:line="276" w:lineRule="auto"/>
            </w:pPr>
            <w:r>
              <w:rPr>
                <w:sz w:val="22"/>
                <w:szCs w:val="22"/>
              </w:rPr>
              <w:t>13</w:t>
            </w:r>
          </w:p>
        </w:tc>
        <w:tc>
          <w:tcPr>
            <w:tcW w:w="1400" w:type="dxa"/>
          </w:tcPr>
          <w:p w14:paraId="5E8157BC" w14:textId="77777777" w:rsidR="006D6679" w:rsidRDefault="00000000">
            <w:pPr>
              <w:spacing w:before="20" w:after="20" w:line="276" w:lineRule="auto"/>
            </w:pPr>
            <w:r>
              <w:rPr>
                <w:sz w:val="22"/>
                <w:szCs w:val="22"/>
              </w:rPr>
              <w:t>15.5</w:t>
            </w:r>
          </w:p>
        </w:tc>
      </w:tr>
      <w:tr w:rsidR="006D6679" w14:paraId="0D3E5B75" w14:textId="77777777">
        <w:tblPrEx>
          <w:tblCellMar>
            <w:top w:w="0" w:type="dxa"/>
            <w:bottom w:w="0" w:type="dxa"/>
          </w:tblCellMar>
        </w:tblPrEx>
        <w:tc>
          <w:tcPr>
            <w:tcW w:w="5200" w:type="dxa"/>
          </w:tcPr>
          <w:p w14:paraId="2B2C7BCD" w14:textId="77777777" w:rsidR="006D6679" w:rsidRDefault="00000000">
            <w:pPr>
              <w:spacing w:before="20" w:after="20" w:line="276" w:lineRule="auto"/>
            </w:pPr>
            <w:r>
              <w:rPr>
                <w:sz w:val="22"/>
                <w:szCs w:val="22"/>
              </w:rPr>
              <w:t>I knew about them but did not need them</w:t>
            </w:r>
          </w:p>
        </w:tc>
        <w:tc>
          <w:tcPr>
            <w:tcW w:w="1400" w:type="dxa"/>
          </w:tcPr>
          <w:p w14:paraId="6496297C" w14:textId="77777777" w:rsidR="006D6679" w:rsidRDefault="00000000">
            <w:pPr>
              <w:spacing w:before="20" w:after="20" w:line="276" w:lineRule="auto"/>
            </w:pPr>
            <w:r>
              <w:rPr>
                <w:sz w:val="22"/>
                <w:szCs w:val="22"/>
              </w:rPr>
              <w:t>8</w:t>
            </w:r>
          </w:p>
        </w:tc>
        <w:tc>
          <w:tcPr>
            <w:tcW w:w="1400" w:type="dxa"/>
          </w:tcPr>
          <w:p w14:paraId="6FC254DB" w14:textId="77777777" w:rsidR="006D6679" w:rsidRDefault="00000000">
            <w:pPr>
              <w:spacing w:before="20" w:after="20" w:line="276" w:lineRule="auto"/>
            </w:pPr>
            <w:r>
              <w:rPr>
                <w:sz w:val="22"/>
                <w:szCs w:val="22"/>
              </w:rPr>
              <w:t>9.5</w:t>
            </w:r>
          </w:p>
        </w:tc>
      </w:tr>
      <w:tr w:rsidR="006D6679" w14:paraId="61A60824" w14:textId="77777777">
        <w:tblPrEx>
          <w:tblCellMar>
            <w:top w:w="0" w:type="dxa"/>
            <w:bottom w:w="0" w:type="dxa"/>
          </w:tblCellMar>
        </w:tblPrEx>
        <w:tc>
          <w:tcPr>
            <w:tcW w:w="5200" w:type="dxa"/>
          </w:tcPr>
          <w:p w14:paraId="2C4761C2" w14:textId="77777777" w:rsidR="006D6679" w:rsidRDefault="00000000">
            <w:pPr>
              <w:spacing w:before="20" w:after="20" w:line="276" w:lineRule="auto"/>
            </w:pPr>
            <w:r>
              <w:rPr>
                <w:sz w:val="22"/>
                <w:szCs w:val="22"/>
              </w:rPr>
              <w:t>Other</w:t>
            </w:r>
          </w:p>
        </w:tc>
        <w:tc>
          <w:tcPr>
            <w:tcW w:w="1400" w:type="dxa"/>
          </w:tcPr>
          <w:p w14:paraId="497E298A" w14:textId="77777777" w:rsidR="006D6679" w:rsidRDefault="00000000">
            <w:pPr>
              <w:spacing w:before="20" w:after="20" w:line="276" w:lineRule="auto"/>
            </w:pPr>
            <w:r>
              <w:rPr>
                <w:sz w:val="22"/>
                <w:szCs w:val="22"/>
              </w:rPr>
              <w:t>2</w:t>
            </w:r>
          </w:p>
        </w:tc>
        <w:tc>
          <w:tcPr>
            <w:tcW w:w="1400" w:type="dxa"/>
          </w:tcPr>
          <w:p w14:paraId="080C79B7" w14:textId="77777777" w:rsidR="006D6679" w:rsidRDefault="00000000">
            <w:pPr>
              <w:spacing w:before="20" w:after="20" w:line="276" w:lineRule="auto"/>
            </w:pPr>
            <w:r>
              <w:rPr>
                <w:sz w:val="22"/>
                <w:szCs w:val="22"/>
              </w:rPr>
              <w:t>2.4</w:t>
            </w:r>
          </w:p>
        </w:tc>
      </w:tr>
    </w:tbl>
    <w:p w14:paraId="399342CB" w14:textId="77777777" w:rsidR="006D6679" w:rsidRDefault="00000000">
      <w:pPr>
        <w:spacing w:before="120" w:after="120" w:line="360" w:lineRule="auto"/>
      </w:pPr>
      <w:r>
        <w:rPr>
          <w:b/>
          <w:bCs/>
          <w:sz w:val="22"/>
          <w:szCs w:val="22"/>
        </w:rPr>
        <w:t>Table C3. Preferred improvement priority (N = 122)</w:t>
      </w:r>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200"/>
        <w:gridCol w:w="1400"/>
        <w:gridCol w:w="1400"/>
      </w:tblGrid>
      <w:tr w:rsidR="006D6679" w14:paraId="52B896D2" w14:textId="77777777">
        <w:tblPrEx>
          <w:tblCellMar>
            <w:top w:w="0" w:type="dxa"/>
            <w:bottom w:w="0" w:type="dxa"/>
          </w:tblCellMar>
        </w:tblPrEx>
        <w:tc>
          <w:tcPr>
            <w:tcW w:w="5200" w:type="dxa"/>
            <w:shd w:val="clear" w:color="auto" w:fill="E7E6E6"/>
          </w:tcPr>
          <w:p w14:paraId="617626EF" w14:textId="77777777" w:rsidR="006D6679" w:rsidRDefault="00000000">
            <w:pPr>
              <w:spacing w:before="20" w:after="20" w:line="276" w:lineRule="auto"/>
            </w:pPr>
            <w:r>
              <w:rPr>
                <w:b/>
                <w:bCs/>
                <w:sz w:val="22"/>
                <w:szCs w:val="22"/>
              </w:rPr>
              <w:t>Improvement</w:t>
            </w:r>
          </w:p>
        </w:tc>
        <w:tc>
          <w:tcPr>
            <w:tcW w:w="1400" w:type="dxa"/>
            <w:shd w:val="clear" w:color="auto" w:fill="E7E6E6"/>
          </w:tcPr>
          <w:p w14:paraId="0CC079B7" w14:textId="77777777" w:rsidR="006D6679" w:rsidRDefault="00000000">
            <w:pPr>
              <w:spacing w:before="20" w:after="20" w:line="276" w:lineRule="auto"/>
            </w:pPr>
            <w:r>
              <w:rPr>
                <w:b/>
                <w:bCs/>
                <w:sz w:val="22"/>
                <w:szCs w:val="22"/>
              </w:rPr>
              <w:t>n</w:t>
            </w:r>
          </w:p>
        </w:tc>
        <w:tc>
          <w:tcPr>
            <w:tcW w:w="1400" w:type="dxa"/>
            <w:shd w:val="clear" w:color="auto" w:fill="E7E6E6"/>
          </w:tcPr>
          <w:p w14:paraId="4F0A219E" w14:textId="77777777" w:rsidR="006D6679" w:rsidRDefault="00000000">
            <w:pPr>
              <w:spacing w:before="20" w:after="20" w:line="276" w:lineRule="auto"/>
            </w:pPr>
            <w:r>
              <w:rPr>
                <w:b/>
                <w:bCs/>
                <w:sz w:val="22"/>
                <w:szCs w:val="22"/>
              </w:rPr>
              <w:t>%</w:t>
            </w:r>
          </w:p>
        </w:tc>
      </w:tr>
      <w:tr w:rsidR="006D6679" w14:paraId="301D7303" w14:textId="77777777">
        <w:tblPrEx>
          <w:tblCellMar>
            <w:top w:w="0" w:type="dxa"/>
            <w:bottom w:w="0" w:type="dxa"/>
          </w:tblCellMar>
        </w:tblPrEx>
        <w:tc>
          <w:tcPr>
            <w:tcW w:w="5200" w:type="dxa"/>
          </w:tcPr>
          <w:p w14:paraId="0E7EC9C3" w14:textId="77777777" w:rsidR="006D6679" w:rsidRDefault="00000000">
            <w:pPr>
              <w:spacing w:before="20" w:after="20" w:line="276" w:lineRule="auto"/>
            </w:pPr>
            <w:r>
              <w:rPr>
                <w:sz w:val="22"/>
                <w:szCs w:val="22"/>
              </w:rPr>
              <w:t>Earlier communication about internship opportunities</w:t>
            </w:r>
          </w:p>
        </w:tc>
        <w:tc>
          <w:tcPr>
            <w:tcW w:w="1400" w:type="dxa"/>
          </w:tcPr>
          <w:p w14:paraId="310EFEA7" w14:textId="77777777" w:rsidR="006D6679" w:rsidRDefault="00000000">
            <w:pPr>
              <w:spacing w:before="20" w:after="20" w:line="276" w:lineRule="auto"/>
            </w:pPr>
            <w:r>
              <w:rPr>
                <w:sz w:val="22"/>
                <w:szCs w:val="22"/>
              </w:rPr>
              <w:t>47</w:t>
            </w:r>
          </w:p>
        </w:tc>
        <w:tc>
          <w:tcPr>
            <w:tcW w:w="1400" w:type="dxa"/>
          </w:tcPr>
          <w:p w14:paraId="274C2B14" w14:textId="77777777" w:rsidR="006D6679" w:rsidRDefault="00000000">
            <w:pPr>
              <w:spacing w:before="20" w:after="20" w:line="276" w:lineRule="auto"/>
            </w:pPr>
            <w:r>
              <w:rPr>
                <w:sz w:val="22"/>
                <w:szCs w:val="22"/>
              </w:rPr>
              <w:t>38.5</w:t>
            </w:r>
          </w:p>
        </w:tc>
      </w:tr>
      <w:tr w:rsidR="006D6679" w14:paraId="19DFE486" w14:textId="77777777">
        <w:tblPrEx>
          <w:tblCellMar>
            <w:top w:w="0" w:type="dxa"/>
            <w:bottom w:w="0" w:type="dxa"/>
          </w:tblCellMar>
        </w:tblPrEx>
        <w:tc>
          <w:tcPr>
            <w:tcW w:w="5200" w:type="dxa"/>
          </w:tcPr>
          <w:p w14:paraId="74D1FE46" w14:textId="77777777" w:rsidR="006D6679" w:rsidRDefault="00000000">
            <w:pPr>
              <w:spacing w:before="20" w:after="20" w:line="276" w:lineRule="auto"/>
            </w:pPr>
            <w:r>
              <w:rPr>
                <w:sz w:val="22"/>
                <w:szCs w:val="22"/>
              </w:rPr>
              <w:t>One central internship information platform</w:t>
            </w:r>
          </w:p>
        </w:tc>
        <w:tc>
          <w:tcPr>
            <w:tcW w:w="1400" w:type="dxa"/>
          </w:tcPr>
          <w:p w14:paraId="3714A882" w14:textId="77777777" w:rsidR="006D6679" w:rsidRDefault="00000000">
            <w:pPr>
              <w:spacing w:before="20" w:after="20" w:line="276" w:lineRule="auto"/>
            </w:pPr>
            <w:r>
              <w:rPr>
                <w:sz w:val="22"/>
                <w:szCs w:val="22"/>
              </w:rPr>
              <w:t>26</w:t>
            </w:r>
          </w:p>
        </w:tc>
        <w:tc>
          <w:tcPr>
            <w:tcW w:w="1400" w:type="dxa"/>
          </w:tcPr>
          <w:p w14:paraId="2E915E6A" w14:textId="77777777" w:rsidR="006D6679" w:rsidRDefault="00000000">
            <w:pPr>
              <w:spacing w:before="20" w:after="20" w:line="276" w:lineRule="auto"/>
            </w:pPr>
            <w:r>
              <w:rPr>
                <w:sz w:val="22"/>
                <w:szCs w:val="22"/>
              </w:rPr>
              <w:t>21.3</w:t>
            </w:r>
          </w:p>
        </w:tc>
      </w:tr>
      <w:tr w:rsidR="006D6679" w14:paraId="64064E0F" w14:textId="77777777">
        <w:tblPrEx>
          <w:tblCellMar>
            <w:top w:w="0" w:type="dxa"/>
            <w:bottom w:w="0" w:type="dxa"/>
          </w:tblCellMar>
        </w:tblPrEx>
        <w:tc>
          <w:tcPr>
            <w:tcW w:w="5200" w:type="dxa"/>
          </w:tcPr>
          <w:p w14:paraId="3D4E9E41" w14:textId="77777777" w:rsidR="006D6679" w:rsidRDefault="00000000">
            <w:pPr>
              <w:spacing w:before="20" w:after="20" w:line="276" w:lineRule="auto"/>
            </w:pPr>
            <w:r>
              <w:rPr>
                <w:sz w:val="22"/>
                <w:szCs w:val="22"/>
              </w:rPr>
              <w:t>More employer and alumni networking events</w:t>
            </w:r>
          </w:p>
        </w:tc>
        <w:tc>
          <w:tcPr>
            <w:tcW w:w="1400" w:type="dxa"/>
          </w:tcPr>
          <w:p w14:paraId="0C19F896" w14:textId="77777777" w:rsidR="006D6679" w:rsidRDefault="00000000">
            <w:pPr>
              <w:spacing w:before="20" w:after="20" w:line="276" w:lineRule="auto"/>
            </w:pPr>
            <w:r>
              <w:rPr>
                <w:sz w:val="22"/>
                <w:szCs w:val="22"/>
              </w:rPr>
              <w:t>18</w:t>
            </w:r>
          </w:p>
        </w:tc>
        <w:tc>
          <w:tcPr>
            <w:tcW w:w="1400" w:type="dxa"/>
          </w:tcPr>
          <w:p w14:paraId="5B624538" w14:textId="77777777" w:rsidR="006D6679" w:rsidRDefault="00000000">
            <w:pPr>
              <w:spacing w:before="20" w:after="20" w:line="276" w:lineRule="auto"/>
            </w:pPr>
            <w:r>
              <w:rPr>
                <w:sz w:val="22"/>
                <w:szCs w:val="22"/>
              </w:rPr>
              <w:t>14.8</w:t>
            </w:r>
          </w:p>
        </w:tc>
      </w:tr>
      <w:tr w:rsidR="006D6679" w14:paraId="554A3E88" w14:textId="77777777">
        <w:tblPrEx>
          <w:tblCellMar>
            <w:top w:w="0" w:type="dxa"/>
            <w:bottom w:w="0" w:type="dxa"/>
          </w:tblCellMar>
        </w:tblPrEx>
        <w:tc>
          <w:tcPr>
            <w:tcW w:w="5200" w:type="dxa"/>
          </w:tcPr>
          <w:p w14:paraId="60ED71AF" w14:textId="77777777" w:rsidR="006D6679" w:rsidRDefault="00000000">
            <w:pPr>
              <w:spacing w:before="20" w:after="20" w:line="276" w:lineRule="auto"/>
            </w:pPr>
            <w:r>
              <w:rPr>
                <w:sz w:val="22"/>
                <w:szCs w:val="22"/>
              </w:rPr>
              <w:t>More school-specific internship guidance</w:t>
            </w:r>
          </w:p>
        </w:tc>
        <w:tc>
          <w:tcPr>
            <w:tcW w:w="1400" w:type="dxa"/>
          </w:tcPr>
          <w:p w14:paraId="102F376B" w14:textId="77777777" w:rsidR="006D6679" w:rsidRDefault="00000000">
            <w:pPr>
              <w:spacing w:before="20" w:after="20" w:line="276" w:lineRule="auto"/>
            </w:pPr>
            <w:r>
              <w:rPr>
                <w:sz w:val="22"/>
                <w:szCs w:val="22"/>
              </w:rPr>
              <w:t>15</w:t>
            </w:r>
          </w:p>
        </w:tc>
        <w:tc>
          <w:tcPr>
            <w:tcW w:w="1400" w:type="dxa"/>
          </w:tcPr>
          <w:p w14:paraId="7E6DCC79" w14:textId="77777777" w:rsidR="006D6679" w:rsidRDefault="00000000">
            <w:pPr>
              <w:spacing w:before="20" w:after="20" w:line="276" w:lineRule="auto"/>
            </w:pPr>
            <w:r>
              <w:rPr>
                <w:sz w:val="22"/>
                <w:szCs w:val="22"/>
              </w:rPr>
              <w:t>12.3</w:t>
            </w:r>
          </w:p>
        </w:tc>
      </w:tr>
      <w:tr w:rsidR="006D6679" w14:paraId="73B7C216" w14:textId="77777777">
        <w:tblPrEx>
          <w:tblCellMar>
            <w:top w:w="0" w:type="dxa"/>
            <w:bottom w:w="0" w:type="dxa"/>
          </w:tblCellMar>
        </w:tblPrEx>
        <w:tc>
          <w:tcPr>
            <w:tcW w:w="5200" w:type="dxa"/>
          </w:tcPr>
          <w:p w14:paraId="1C4DDBEC" w14:textId="77777777" w:rsidR="006D6679" w:rsidRDefault="00000000">
            <w:pPr>
              <w:spacing w:before="20" w:after="20" w:line="276" w:lineRule="auto"/>
            </w:pPr>
            <w:r>
              <w:rPr>
                <w:sz w:val="22"/>
                <w:szCs w:val="22"/>
              </w:rPr>
              <w:t>More mock interview practice</w:t>
            </w:r>
          </w:p>
        </w:tc>
        <w:tc>
          <w:tcPr>
            <w:tcW w:w="1400" w:type="dxa"/>
          </w:tcPr>
          <w:p w14:paraId="71FAB184" w14:textId="77777777" w:rsidR="006D6679" w:rsidRDefault="00000000">
            <w:pPr>
              <w:spacing w:before="20" w:after="20" w:line="276" w:lineRule="auto"/>
            </w:pPr>
            <w:r>
              <w:rPr>
                <w:sz w:val="22"/>
                <w:szCs w:val="22"/>
              </w:rPr>
              <w:t>7</w:t>
            </w:r>
          </w:p>
        </w:tc>
        <w:tc>
          <w:tcPr>
            <w:tcW w:w="1400" w:type="dxa"/>
          </w:tcPr>
          <w:p w14:paraId="39790B6A" w14:textId="77777777" w:rsidR="006D6679" w:rsidRDefault="00000000">
            <w:pPr>
              <w:spacing w:before="20" w:after="20" w:line="276" w:lineRule="auto"/>
            </w:pPr>
            <w:r>
              <w:rPr>
                <w:sz w:val="22"/>
                <w:szCs w:val="22"/>
              </w:rPr>
              <w:t>5.7</w:t>
            </w:r>
          </w:p>
        </w:tc>
      </w:tr>
      <w:tr w:rsidR="006D6679" w14:paraId="49E3A870" w14:textId="77777777">
        <w:tblPrEx>
          <w:tblCellMar>
            <w:top w:w="0" w:type="dxa"/>
            <w:bottom w:w="0" w:type="dxa"/>
          </w:tblCellMar>
        </w:tblPrEx>
        <w:tc>
          <w:tcPr>
            <w:tcW w:w="5200" w:type="dxa"/>
          </w:tcPr>
          <w:p w14:paraId="6B9DCB5D" w14:textId="77777777" w:rsidR="006D6679" w:rsidRDefault="00000000">
            <w:pPr>
              <w:spacing w:before="20" w:after="20" w:line="276" w:lineRule="auto"/>
            </w:pPr>
            <w:r>
              <w:rPr>
                <w:sz w:val="22"/>
                <w:szCs w:val="22"/>
              </w:rPr>
              <w:t>More CV or resume support</w:t>
            </w:r>
          </w:p>
        </w:tc>
        <w:tc>
          <w:tcPr>
            <w:tcW w:w="1400" w:type="dxa"/>
          </w:tcPr>
          <w:p w14:paraId="1F8F94EA" w14:textId="77777777" w:rsidR="006D6679" w:rsidRDefault="00000000">
            <w:pPr>
              <w:spacing w:before="20" w:after="20" w:line="276" w:lineRule="auto"/>
            </w:pPr>
            <w:r>
              <w:rPr>
                <w:sz w:val="22"/>
                <w:szCs w:val="22"/>
              </w:rPr>
              <w:t>7</w:t>
            </w:r>
          </w:p>
        </w:tc>
        <w:tc>
          <w:tcPr>
            <w:tcW w:w="1400" w:type="dxa"/>
          </w:tcPr>
          <w:p w14:paraId="62509EA9" w14:textId="77777777" w:rsidR="006D6679" w:rsidRDefault="00000000">
            <w:pPr>
              <w:spacing w:before="20" w:after="20" w:line="276" w:lineRule="auto"/>
            </w:pPr>
            <w:r>
              <w:rPr>
                <w:sz w:val="22"/>
                <w:szCs w:val="22"/>
              </w:rPr>
              <w:t>5.7</w:t>
            </w:r>
          </w:p>
        </w:tc>
      </w:tr>
      <w:tr w:rsidR="006D6679" w14:paraId="7CAABC1B" w14:textId="77777777">
        <w:tblPrEx>
          <w:tblCellMar>
            <w:top w:w="0" w:type="dxa"/>
            <w:bottom w:w="0" w:type="dxa"/>
          </w:tblCellMar>
        </w:tblPrEx>
        <w:tc>
          <w:tcPr>
            <w:tcW w:w="5200" w:type="dxa"/>
          </w:tcPr>
          <w:p w14:paraId="3DC1B1DF" w14:textId="77777777" w:rsidR="006D6679" w:rsidRDefault="00000000">
            <w:pPr>
              <w:spacing w:before="20" w:after="20" w:line="276" w:lineRule="auto"/>
            </w:pPr>
            <w:r>
              <w:rPr>
                <w:sz w:val="22"/>
                <w:szCs w:val="22"/>
              </w:rPr>
              <w:t>Other</w:t>
            </w:r>
          </w:p>
        </w:tc>
        <w:tc>
          <w:tcPr>
            <w:tcW w:w="1400" w:type="dxa"/>
          </w:tcPr>
          <w:p w14:paraId="4AD1820A" w14:textId="77777777" w:rsidR="006D6679" w:rsidRDefault="00000000">
            <w:pPr>
              <w:spacing w:before="20" w:after="20" w:line="276" w:lineRule="auto"/>
            </w:pPr>
            <w:r>
              <w:rPr>
                <w:sz w:val="22"/>
                <w:szCs w:val="22"/>
              </w:rPr>
              <w:t>2</w:t>
            </w:r>
          </w:p>
        </w:tc>
        <w:tc>
          <w:tcPr>
            <w:tcW w:w="1400" w:type="dxa"/>
          </w:tcPr>
          <w:p w14:paraId="6276A527" w14:textId="77777777" w:rsidR="006D6679" w:rsidRDefault="00000000">
            <w:pPr>
              <w:spacing w:before="20" w:after="20" w:line="276" w:lineRule="auto"/>
            </w:pPr>
            <w:r>
              <w:rPr>
                <w:sz w:val="22"/>
                <w:szCs w:val="22"/>
              </w:rPr>
              <w:t>1.6</w:t>
            </w:r>
          </w:p>
        </w:tc>
      </w:tr>
    </w:tbl>
    <w:p w14:paraId="3CFF4A13" w14:textId="77777777" w:rsidR="006D6679" w:rsidRDefault="00000000">
      <w:pPr>
        <w:spacing w:before="120" w:after="120" w:line="360" w:lineRule="auto"/>
      </w:pPr>
      <w:r>
        <w:rPr>
          <w:b/>
          <w:bCs/>
          <w:sz w:val="22"/>
          <w:szCs w:val="22"/>
        </w:rPr>
        <w:t>Table C4. Readiness item means (N = 122)</w:t>
      </w:r>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200"/>
        <w:gridCol w:w="1400"/>
        <w:gridCol w:w="1400"/>
      </w:tblGrid>
      <w:tr w:rsidR="006D6679" w14:paraId="258433B8" w14:textId="77777777">
        <w:tblPrEx>
          <w:tblCellMar>
            <w:top w:w="0" w:type="dxa"/>
            <w:bottom w:w="0" w:type="dxa"/>
          </w:tblCellMar>
        </w:tblPrEx>
        <w:tc>
          <w:tcPr>
            <w:tcW w:w="5200" w:type="dxa"/>
            <w:shd w:val="clear" w:color="auto" w:fill="E7E6E6"/>
          </w:tcPr>
          <w:p w14:paraId="28C994E5" w14:textId="77777777" w:rsidR="006D6679" w:rsidRDefault="00000000">
            <w:pPr>
              <w:spacing w:before="20" w:after="20" w:line="276" w:lineRule="auto"/>
            </w:pPr>
            <w:r>
              <w:rPr>
                <w:b/>
                <w:bCs/>
                <w:sz w:val="22"/>
                <w:szCs w:val="22"/>
              </w:rPr>
              <w:t>Item</w:t>
            </w:r>
          </w:p>
        </w:tc>
        <w:tc>
          <w:tcPr>
            <w:tcW w:w="1400" w:type="dxa"/>
            <w:shd w:val="clear" w:color="auto" w:fill="E7E6E6"/>
          </w:tcPr>
          <w:p w14:paraId="5861CE6F" w14:textId="77777777" w:rsidR="006D6679" w:rsidRDefault="00000000">
            <w:pPr>
              <w:spacing w:before="20" w:after="20" w:line="276" w:lineRule="auto"/>
            </w:pPr>
            <w:r>
              <w:rPr>
                <w:b/>
                <w:bCs/>
                <w:sz w:val="22"/>
                <w:szCs w:val="22"/>
              </w:rPr>
              <w:t>M</w:t>
            </w:r>
          </w:p>
        </w:tc>
        <w:tc>
          <w:tcPr>
            <w:tcW w:w="1400" w:type="dxa"/>
            <w:shd w:val="clear" w:color="auto" w:fill="E7E6E6"/>
          </w:tcPr>
          <w:p w14:paraId="3B396FD6" w14:textId="77777777" w:rsidR="006D6679" w:rsidRDefault="00000000">
            <w:pPr>
              <w:spacing w:before="20" w:after="20" w:line="276" w:lineRule="auto"/>
            </w:pPr>
            <w:r>
              <w:rPr>
                <w:b/>
                <w:bCs/>
                <w:sz w:val="22"/>
                <w:szCs w:val="22"/>
              </w:rPr>
              <w:t>SD</w:t>
            </w:r>
          </w:p>
        </w:tc>
      </w:tr>
      <w:tr w:rsidR="006D6679" w14:paraId="4A7F5CD6" w14:textId="77777777">
        <w:tblPrEx>
          <w:tblCellMar>
            <w:top w:w="0" w:type="dxa"/>
            <w:bottom w:w="0" w:type="dxa"/>
          </w:tblCellMar>
        </w:tblPrEx>
        <w:tc>
          <w:tcPr>
            <w:tcW w:w="5200" w:type="dxa"/>
          </w:tcPr>
          <w:p w14:paraId="5BC0DE8D" w14:textId="77777777" w:rsidR="006D6679" w:rsidRDefault="00000000">
            <w:pPr>
              <w:spacing w:before="20" w:after="20" w:line="276" w:lineRule="auto"/>
            </w:pPr>
            <w:r>
              <w:rPr>
                <w:sz w:val="22"/>
                <w:szCs w:val="22"/>
              </w:rPr>
              <w:t>I feel confident preparing a strong CV or resume</w:t>
            </w:r>
          </w:p>
        </w:tc>
        <w:tc>
          <w:tcPr>
            <w:tcW w:w="1400" w:type="dxa"/>
          </w:tcPr>
          <w:p w14:paraId="1126B6B8" w14:textId="77777777" w:rsidR="006D6679" w:rsidRDefault="00000000">
            <w:pPr>
              <w:spacing w:before="20" w:after="20" w:line="276" w:lineRule="auto"/>
            </w:pPr>
            <w:r>
              <w:rPr>
                <w:sz w:val="22"/>
                <w:szCs w:val="22"/>
              </w:rPr>
              <w:t>3.20</w:t>
            </w:r>
          </w:p>
        </w:tc>
        <w:tc>
          <w:tcPr>
            <w:tcW w:w="1400" w:type="dxa"/>
          </w:tcPr>
          <w:p w14:paraId="153C6F1D" w14:textId="77777777" w:rsidR="006D6679" w:rsidRDefault="00000000">
            <w:pPr>
              <w:spacing w:before="20" w:after="20" w:line="276" w:lineRule="auto"/>
            </w:pPr>
            <w:r>
              <w:rPr>
                <w:sz w:val="22"/>
                <w:szCs w:val="22"/>
              </w:rPr>
              <w:t>1.11</w:t>
            </w:r>
          </w:p>
        </w:tc>
      </w:tr>
      <w:tr w:rsidR="006D6679" w14:paraId="1B32AF73" w14:textId="77777777">
        <w:tblPrEx>
          <w:tblCellMar>
            <w:top w:w="0" w:type="dxa"/>
            <w:bottom w:w="0" w:type="dxa"/>
          </w:tblCellMar>
        </w:tblPrEx>
        <w:tc>
          <w:tcPr>
            <w:tcW w:w="5200" w:type="dxa"/>
          </w:tcPr>
          <w:p w14:paraId="13196B84" w14:textId="77777777" w:rsidR="006D6679" w:rsidRDefault="00000000">
            <w:pPr>
              <w:spacing w:before="20" w:after="20" w:line="276" w:lineRule="auto"/>
            </w:pPr>
            <w:r>
              <w:rPr>
                <w:sz w:val="22"/>
                <w:szCs w:val="22"/>
              </w:rPr>
              <w:t>I feel confident preparing for internship interviews</w:t>
            </w:r>
          </w:p>
        </w:tc>
        <w:tc>
          <w:tcPr>
            <w:tcW w:w="1400" w:type="dxa"/>
          </w:tcPr>
          <w:p w14:paraId="513E5E66" w14:textId="77777777" w:rsidR="006D6679" w:rsidRDefault="00000000">
            <w:pPr>
              <w:spacing w:before="20" w:after="20" w:line="276" w:lineRule="auto"/>
            </w:pPr>
            <w:r>
              <w:rPr>
                <w:sz w:val="22"/>
                <w:szCs w:val="22"/>
              </w:rPr>
              <w:t>3.00</w:t>
            </w:r>
          </w:p>
        </w:tc>
        <w:tc>
          <w:tcPr>
            <w:tcW w:w="1400" w:type="dxa"/>
          </w:tcPr>
          <w:p w14:paraId="60B858C7" w14:textId="77777777" w:rsidR="006D6679" w:rsidRDefault="00000000">
            <w:pPr>
              <w:spacing w:before="20" w:after="20" w:line="276" w:lineRule="auto"/>
            </w:pPr>
            <w:r>
              <w:rPr>
                <w:sz w:val="22"/>
                <w:szCs w:val="22"/>
              </w:rPr>
              <w:t>1.19</w:t>
            </w:r>
          </w:p>
        </w:tc>
      </w:tr>
      <w:tr w:rsidR="006D6679" w14:paraId="62D51C2D" w14:textId="77777777">
        <w:tblPrEx>
          <w:tblCellMar>
            <w:top w:w="0" w:type="dxa"/>
            <w:bottom w:w="0" w:type="dxa"/>
          </w:tblCellMar>
        </w:tblPrEx>
        <w:tc>
          <w:tcPr>
            <w:tcW w:w="5200" w:type="dxa"/>
          </w:tcPr>
          <w:p w14:paraId="02818A80" w14:textId="77777777" w:rsidR="006D6679" w:rsidRDefault="00000000">
            <w:pPr>
              <w:spacing w:before="20" w:after="20" w:line="276" w:lineRule="auto"/>
            </w:pPr>
            <w:r>
              <w:rPr>
                <w:sz w:val="22"/>
                <w:szCs w:val="22"/>
              </w:rPr>
              <w:t>I understand what employers expect from interns</w:t>
            </w:r>
          </w:p>
        </w:tc>
        <w:tc>
          <w:tcPr>
            <w:tcW w:w="1400" w:type="dxa"/>
          </w:tcPr>
          <w:p w14:paraId="3EAAFB0F" w14:textId="77777777" w:rsidR="006D6679" w:rsidRDefault="00000000">
            <w:pPr>
              <w:spacing w:before="20" w:after="20" w:line="276" w:lineRule="auto"/>
            </w:pPr>
            <w:r>
              <w:rPr>
                <w:sz w:val="22"/>
                <w:szCs w:val="22"/>
              </w:rPr>
              <w:t>2.76</w:t>
            </w:r>
          </w:p>
        </w:tc>
        <w:tc>
          <w:tcPr>
            <w:tcW w:w="1400" w:type="dxa"/>
          </w:tcPr>
          <w:p w14:paraId="406E4EE2" w14:textId="77777777" w:rsidR="006D6679" w:rsidRDefault="00000000">
            <w:pPr>
              <w:spacing w:before="20" w:after="20" w:line="276" w:lineRule="auto"/>
            </w:pPr>
            <w:r>
              <w:rPr>
                <w:sz w:val="22"/>
                <w:szCs w:val="22"/>
              </w:rPr>
              <w:t>1.06</w:t>
            </w:r>
          </w:p>
        </w:tc>
      </w:tr>
      <w:tr w:rsidR="006D6679" w14:paraId="42E07F90" w14:textId="77777777">
        <w:tblPrEx>
          <w:tblCellMar>
            <w:top w:w="0" w:type="dxa"/>
            <w:bottom w:w="0" w:type="dxa"/>
          </w:tblCellMar>
        </w:tblPrEx>
        <w:tc>
          <w:tcPr>
            <w:tcW w:w="5200" w:type="dxa"/>
          </w:tcPr>
          <w:p w14:paraId="24A6CFA7" w14:textId="77777777" w:rsidR="006D6679" w:rsidRDefault="00000000">
            <w:pPr>
              <w:spacing w:before="20" w:after="20" w:line="276" w:lineRule="auto"/>
            </w:pPr>
            <w:r>
              <w:rPr>
                <w:sz w:val="22"/>
                <w:szCs w:val="22"/>
              </w:rPr>
              <w:t>I feel confident finding internship opportunities</w:t>
            </w:r>
          </w:p>
        </w:tc>
        <w:tc>
          <w:tcPr>
            <w:tcW w:w="1400" w:type="dxa"/>
          </w:tcPr>
          <w:p w14:paraId="2E790353" w14:textId="77777777" w:rsidR="006D6679" w:rsidRDefault="00000000">
            <w:pPr>
              <w:spacing w:before="20" w:after="20" w:line="276" w:lineRule="auto"/>
            </w:pPr>
            <w:r>
              <w:rPr>
                <w:sz w:val="22"/>
                <w:szCs w:val="22"/>
              </w:rPr>
              <w:t>2.60</w:t>
            </w:r>
          </w:p>
        </w:tc>
        <w:tc>
          <w:tcPr>
            <w:tcW w:w="1400" w:type="dxa"/>
          </w:tcPr>
          <w:p w14:paraId="73814FD4" w14:textId="77777777" w:rsidR="006D6679" w:rsidRDefault="00000000">
            <w:pPr>
              <w:spacing w:before="20" w:after="20" w:line="276" w:lineRule="auto"/>
            </w:pPr>
            <w:r>
              <w:rPr>
                <w:sz w:val="22"/>
                <w:szCs w:val="22"/>
              </w:rPr>
              <w:t>1.04</w:t>
            </w:r>
          </w:p>
        </w:tc>
      </w:tr>
    </w:tbl>
    <w:p w14:paraId="398A816B" w14:textId="77777777" w:rsidR="006D6679" w:rsidRDefault="00000000">
      <w:pPr>
        <w:spacing w:before="120" w:after="120" w:line="360" w:lineRule="auto"/>
      </w:pPr>
      <w:r>
        <w:rPr>
          <w:b/>
          <w:bCs/>
          <w:sz w:val="22"/>
          <w:szCs w:val="22"/>
        </w:rPr>
        <w:t>Table C5. Reliability of composite scores</w:t>
      </w:r>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200"/>
        <w:gridCol w:w="1800"/>
        <w:gridCol w:w="2000"/>
      </w:tblGrid>
      <w:tr w:rsidR="006D6679" w14:paraId="4B4AD50C" w14:textId="77777777">
        <w:tblPrEx>
          <w:tblCellMar>
            <w:top w:w="0" w:type="dxa"/>
            <w:bottom w:w="0" w:type="dxa"/>
          </w:tblCellMar>
        </w:tblPrEx>
        <w:tc>
          <w:tcPr>
            <w:tcW w:w="4200" w:type="dxa"/>
            <w:shd w:val="clear" w:color="auto" w:fill="E7E6E6"/>
          </w:tcPr>
          <w:p w14:paraId="1193B200" w14:textId="77777777" w:rsidR="006D6679" w:rsidRDefault="00000000">
            <w:pPr>
              <w:spacing w:before="20" w:after="20" w:line="276" w:lineRule="auto"/>
            </w:pPr>
            <w:r>
              <w:rPr>
                <w:b/>
                <w:bCs/>
                <w:sz w:val="22"/>
                <w:szCs w:val="22"/>
              </w:rPr>
              <w:t>Scale</w:t>
            </w:r>
          </w:p>
        </w:tc>
        <w:tc>
          <w:tcPr>
            <w:tcW w:w="1800" w:type="dxa"/>
            <w:shd w:val="clear" w:color="auto" w:fill="E7E6E6"/>
          </w:tcPr>
          <w:p w14:paraId="6A207274" w14:textId="77777777" w:rsidR="006D6679" w:rsidRDefault="00000000">
            <w:pPr>
              <w:spacing w:before="20" w:after="20" w:line="276" w:lineRule="auto"/>
            </w:pPr>
            <w:r>
              <w:rPr>
                <w:b/>
                <w:bCs/>
                <w:sz w:val="22"/>
                <w:szCs w:val="22"/>
              </w:rPr>
              <w:t>Items / n</w:t>
            </w:r>
          </w:p>
        </w:tc>
        <w:tc>
          <w:tcPr>
            <w:tcW w:w="2000" w:type="dxa"/>
            <w:shd w:val="clear" w:color="auto" w:fill="E7E6E6"/>
          </w:tcPr>
          <w:p w14:paraId="79D3BEC7" w14:textId="77777777" w:rsidR="006D6679" w:rsidRDefault="00000000">
            <w:pPr>
              <w:spacing w:before="20" w:after="20" w:line="276" w:lineRule="auto"/>
            </w:pPr>
            <w:r>
              <w:rPr>
                <w:b/>
                <w:bCs/>
                <w:sz w:val="22"/>
                <w:szCs w:val="22"/>
              </w:rPr>
              <w:t>Cronbach’s α</w:t>
            </w:r>
          </w:p>
        </w:tc>
      </w:tr>
      <w:tr w:rsidR="006D6679" w14:paraId="3F4FC49C" w14:textId="77777777">
        <w:tblPrEx>
          <w:tblCellMar>
            <w:top w:w="0" w:type="dxa"/>
            <w:bottom w:w="0" w:type="dxa"/>
          </w:tblCellMar>
        </w:tblPrEx>
        <w:tc>
          <w:tcPr>
            <w:tcW w:w="4200" w:type="dxa"/>
          </w:tcPr>
          <w:p w14:paraId="10DC17D6" w14:textId="77777777" w:rsidR="006D6679" w:rsidRDefault="00000000">
            <w:pPr>
              <w:spacing w:before="20" w:after="20" w:line="276" w:lineRule="auto"/>
            </w:pPr>
            <w:r>
              <w:rPr>
                <w:sz w:val="22"/>
                <w:szCs w:val="22"/>
              </w:rPr>
              <w:t>Readiness score (all respondents)</w:t>
            </w:r>
          </w:p>
        </w:tc>
        <w:tc>
          <w:tcPr>
            <w:tcW w:w="1800" w:type="dxa"/>
          </w:tcPr>
          <w:p w14:paraId="668B247D" w14:textId="77777777" w:rsidR="006D6679" w:rsidRDefault="00000000">
            <w:pPr>
              <w:spacing w:before="20" w:after="20" w:line="276" w:lineRule="auto"/>
            </w:pPr>
            <w:r>
              <w:rPr>
                <w:sz w:val="22"/>
                <w:szCs w:val="22"/>
              </w:rPr>
              <w:t>4 / 122</w:t>
            </w:r>
          </w:p>
        </w:tc>
        <w:tc>
          <w:tcPr>
            <w:tcW w:w="2000" w:type="dxa"/>
          </w:tcPr>
          <w:p w14:paraId="0303AEA6" w14:textId="77777777" w:rsidR="006D6679" w:rsidRDefault="00000000">
            <w:pPr>
              <w:spacing w:before="20" w:after="20" w:line="276" w:lineRule="auto"/>
            </w:pPr>
            <w:r>
              <w:rPr>
                <w:sz w:val="22"/>
                <w:szCs w:val="22"/>
              </w:rPr>
              <w:t>.77</w:t>
            </w:r>
          </w:p>
        </w:tc>
      </w:tr>
      <w:tr w:rsidR="006D6679" w14:paraId="3CC152D3" w14:textId="77777777">
        <w:tblPrEx>
          <w:tblCellMar>
            <w:top w:w="0" w:type="dxa"/>
            <w:bottom w:w="0" w:type="dxa"/>
          </w:tblCellMar>
        </w:tblPrEx>
        <w:tc>
          <w:tcPr>
            <w:tcW w:w="4200" w:type="dxa"/>
          </w:tcPr>
          <w:p w14:paraId="72367840" w14:textId="77777777" w:rsidR="006D6679" w:rsidRDefault="00000000">
            <w:pPr>
              <w:spacing w:before="20" w:after="20" w:line="276" w:lineRule="auto"/>
            </w:pPr>
            <w:r>
              <w:rPr>
                <w:sz w:val="22"/>
                <w:szCs w:val="22"/>
              </w:rPr>
              <w:lastRenderedPageBreak/>
              <w:t>Satisfaction score (users only)</w:t>
            </w:r>
          </w:p>
        </w:tc>
        <w:tc>
          <w:tcPr>
            <w:tcW w:w="1800" w:type="dxa"/>
          </w:tcPr>
          <w:p w14:paraId="2EB02F74" w14:textId="77777777" w:rsidR="006D6679" w:rsidRDefault="00000000">
            <w:pPr>
              <w:spacing w:before="20" w:after="20" w:line="276" w:lineRule="auto"/>
            </w:pPr>
            <w:r>
              <w:rPr>
                <w:sz w:val="22"/>
                <w:szCs w:val="22"/>
              </w:rPr>
              <w:t>8 / 38</w:t>
            </w:r>
          </w:p>
        </w:tc>
        <w:tc>
          <w:tcPr>
            <w:tcW w:w="2000" w:type="dxa"/>
          </w:tcPr>
          <w:p w14:paraId="381946E3" w14:textId="77777777" w:rsidR="006D6679" w:rsidRDefault="00000000">
            <w:pPr>
              <w:spacing w:before="20" w:after="20" w:line="276" w:lineRule="auto"/>
            </w:pPr>
            <w:r>
              <w:rPr>
                <w:sz w:val="22"/>
                <w:szCs w:val="22"/>
              </w:rPr>
              <w:t>.77</w:t>
            </w:r>
          </w:p>
        </w:tc>
      </w:tr>
    </w:tbl>
    <w:p w14:paraId="5F9332C1" w14:textId="77777777" w:rsidR="00030EBF" w:rsidRDefault="00030EBF"/>
    <w:sectPr w:rsidR="00030EBF">
      <w:footerReference w:type="default" r:id="rId10"/>
      <w:pgSz w:w="11906" w:h="16838"/>
      <w:pgMar w:top="1417" w:right="850"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5BBD5" w14:textId="77777777" w:rsidR="00030EBF" w:rsidRDefault="00030EBF">
      <w:r>
        <w:separator/>
      </w:r>
    </w:p>
  </w:endnote>
  <w:endnote w:type="continuationSeparator" w:id="0">
    <w:p w14:paraId="520B0F0A" w14:textId="77777777" w:rsidR="00030EBF" w:rsidRDefault="00030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016C" w14:textId="77777777" w:rsidR="006D6679" w:rsidRDefault="00000000">
    <w:pPr>
      <w:jc w:val="center"/>
    </w:pPr>
    <w:r>
      <w:rPr>
        <w:sz w:val="22"/>
        <w:szCs w:val="22"/>
      </w:rPr>
      <w:fldChar w:fldCharType="begin"/>
    </w:r>
    <w:r>
      <w:rPr>
        <w:sz w:val="22"/>
        <w:szCs w:val="22"/>
      </w:rPr>
      <w:instrText>PAGE</w:instrText>
    </w:r>
    <w:r>
      <w:rPr>
        <w:sz w:val="22"/>
        <w:szCs w:val="22"/>
      </w:rPr>
      <w:fldChar w:fldCharType="separate"/>
    </w:r>
    <w:r w:rsidR="0095101A">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C0DA" w14:textId="08D36638" w:rsidR="006D6679" w:rsidRDefault="00000000">
    <w:pPr>
      <w:jc w:val="center"/>
    </w:pPr>
    <w:r>
      <w:rPr>
        <w:sz w:val="22"/>
        <w:szCs w:val="22"/>
      </w:rPr>
      <w:fldChar w:fldCharType="begin"/>
    </w:r>
    <w:r>
      <w:rPr>
        <w:sz w:val="22"/>
        <w:szCs w:val="22"/>
      </w:rPr>
      <w:instrText>PAGE</w:instrText>
    </w:r>
    <w:r>
      <w:rPr>
        <w:sz w:val="22"/>
        <w:szCs w:val="22"/>
      </w:rPr>
      <w:fldChar w:fldCharType="separate"/>
    </w:r>
    <w:r w:rsidR="0095101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1B053" w14:textId="77777777" w:rsidR="00030EBF" w:rsidRDefault="00030EBF">
      <w:r>
        <w:separator/>
      </w:r>
    </w:p>
  </w:footnote>
  <w:footnote w:type="continuationSeparator" w:id="0">
    <w:p w14:paraId="1FC12507" w14:textId="77777777" w:rsidR="00030EBF" w:rsidRDefault="00030E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7DBE"/>
    <w:multiLevelType w:val="hybridMultilevel"/>
    <w:tmpl w:val="6E10C5AE"/>
    <w:lvl w:ilvl="0" w:tplc="442A681E">
      <w:start w:val="1"/>
      <w:numFmt w:val="bullet"/>
      <w:lvlText w:val="●"/>
      <w:lvlJc w:val="left"/>
      <w:pPr>
        <w:ind w:left="720" w:hanging="360"/>
      </w:pPr>
    </w:lvl>
    <w:lvl w:ilvl="1" w:tplc="C6AE73D2">
      <w:start w:val="1"/>
      <w:numFmt w:val="bullet"/>
      <w:lvlText w:val="○"/>
      <w:lvlJc w:val="left"/>
      <w:pPr>
        <w:ind w:left="1440" w:hanging="360"/>
      </w:pPr>
    </w:lvl>
    <w:lvl w:ilvl="2" w:tplc="CCD47230">
      <w:start w:val="1"/>
      <w:numFmt w:val="bullet"/>
      <w:lvlText w:val="■"/>
      <w:lvlJc w:val="left"/>
      <w:pPr>
        <w:ind w:left="2160" w:hanging="360"/>
      </w:pPr>
    </w:lvl>
    <w:lvl w:ilvl="3" w:tplc="092071AE">
      <w:start w:val="1"/>
      <w:numFmt w:val="bullet"/>
      <w:lvlText w:val="●"/>
      <w:lvlJc w:val="left"/>
      <w:pPr>
        <w:ind w:left="2880" w:hanging="360"/>
      </w:pPr>
    </w:lvl>
    <w:lvl w:ilvl="4" w:tplc="C4C43AE8">
      <w:start w:val="1"/>
      <w:numFmt w:val="bullet"/>
      <w:lvlText w:val="○"/>
      <w:lvlJc w:val="left"/>
      <w:pPr>
        <w:ind w:left="3600" w:hanging="360"/>
      </w:pPr>
    </w:lvl>
    <w:lvl w:ilvl="5" w:tplc="5426B2E8">
      <w:start w:val="1"/>
      <w:numFmt w:val="bullet"/>
      <w:lvlText w:val="■"/>
      <w:lvlJc w:val="left"/>
      <w:pPr>
        <w:ind w:left="4320" w:hanging="360"/>
      </w:pPr>
    </w:lvl>
    <w:lvl w:ilvl="6" w:tplc="DFA6A430">
      <w:start w:val="1"/>
      <w:numFmt w:val="bullet"/>
      <w:lvlText w:val="●"/>
      <w:lvlJc w:val="left"/>
      <w:pPr>
        <w:ind w:left="5040" w:hanging="360"/>
      </w:pPr>
    </w:lvl>
    <w:lvl w:ilvl="7" w:tplc="758AD1A4">
      <w:start w:val="1"/>
      <w:numFmt w:val="bullet"/>
      <w:lvlText w:val="●"/>
      <w:lvlJc w:val="left"/>
      <w:pPr>
        <w:ind w:left="5760" w:hanging="360"/>
      </w:pPr>
    </w:lvl>
    <w:lvl w:ilvl="8" w:tplc="05CCC32C">
      <w:start w:val="1"/>
      <w:numFmt w:val="bullet"/>
      <w:lvlText w:val="●"/>
      <w:lvlJc w:val="left"/>
      <w:pPr>
        <w:ind w:left="6480" w:hanging="360"/>
      </w:pPr>
    </w:lvl>
  </w:abstractNum>
  <w:num w:numId="1" w16cid:durableId="292293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679"/>
    <w:rsid w:val="00030EBF"/>
    <w:rsid w:val="00055447"/>
    <w:rsid w:val="006D6679"/>
    <w:rsid w:val="0095101A"/>
    <w:rsid w:val="00D62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AE96"/>
  <w15:docId w15:val="{B2D7E204-D2DD-4645-873A-84DE1E8C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5101A"/>
    <w:pPr>
      <w:spacing w:after="100"/>
    </w:pPr>
  </w:style>
  <w:style w:type="paragraph" w:styleId="TOC2">
    <w:name w:val="toc 2"/>
    <w:basedOn w:val="Normal"/>
    <w:next w:val="Normal"/>
    <w:autoRedefine/>
    <w:uiPriority w:val="39"/>
    <w:unhideWhenUsed/>
    <w:rsid w:val="0095101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7420</Words>
  <Characters>42298</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fxaladzemari375@gmail.com</cp:lastModifiedBy>
  <cp:revision>3</cp:revision>
  <dcterms:created xsi:type="dcterms:W3CDTF">2026-07-09T09:05:00Z</dcterms:created>
  <dcterms:modified xsi:type="dcterms:W3CDTF">2026-07-09T09:23:00Z</dcterms:modified>
</cp:coreProperties>
</file>