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21725C9" w14:textId="77777777">
      <w:pPr>
        <w:spacing/>
        <w:ind/>
        <w:rPr/>
      </w:pPr>
      <w:r/>
      <w:bookmarkStart w:id="0" w:name="_GoBack"/>
      <w:r/>
      <w:bookmarkEnd w:id="0"/>
      <w:r/>
      <w:r/>
    </w:p>
    <w:p w14:paraId="5D1164C3" w14:textId="77777777">
      <w:pPr>
        <w:spacing/>
        <w:ind/>
        <w:rPr>
          <w:b/>
        </w:rPr>
      </w:pPr>
      <w:r>
        <w:rPr>
          <w:b/>
          <w:color w:val="595959" w:themeColor="text1" w:themeTint="A6"/>
          <w:lang w:eastAsia="es-CL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>
                              <w:pPr>
                                <w:spacing w:after="0" w:line="240" w:lineRule="auto"/>
                                <w:ind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r>
                            </w:p>
                            <w:p w14:paraId="2A8D66F8" w14:textId="7772022A">
                              <w:pPr>
                                <w:spacing w:after="0" w:line="240" w:lineRule="auto"/>
                                <w:ind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2.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Desarrollo P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</w:p>
                            <w:p w14:paraId="332AEDC3" w14:textId="5DCBCE3D">
                              <w:pPr>
                                <w:spacing w:after="0" w:line="240" w:lineRule="auto"/>
                                <w:ind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Capstone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 bwMode="auto"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0000" style="position:absolute;z-index:251659264;o:allowoverlap:true;o:allowincell:true;mso-position-horizontal-relative:margin;mso-position-horizontal:center;mso-position-vertical-relative:text;margin-top:0.75pt;mso-position-vertical:absolute;width:491.25pt;height:123.00pt;mso-width-percent:0;mso-width-relative:margin;mso-height-percent:0;mso-height-relative:margin;mso-wrap-distance-left:9.00pt;mso-wrap-distance-top:0.00pt;mso-wrap-distance-right:9.00pt;mso-wrap-distance-bottom:0.00pt;" coordorigin="0,0" coordsize="59912,15621">
                <v:shape id="shape 2" o:spid="_x0000_s2" o:spt="202" type="#_x0000_t202" style="position:absolute;left:10246;top:2994;width:49665;height:12626;v-text-anchor:top;visibility:visible;" filled="f" stroked="f" strokeweight="0.75pt">
                  <v:textbox inset="0,0,0,0">
                    <w:txbxContent>
                      <w:p w14:paraId="1585E57B" w14:textId="77777777">
                        <w:pPr>
                          <w:spacing w:after="0" w:line="240" w:lineRule="auto"/>
                          <w:ind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r>
                        <w: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r>
                        <w:r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r>
                      </w:p>
                      <w:p w14:paraId="2A8D66F8" w14:textId="7772022A">
                        <w:pPr>
                          <w:spacing w:after="0" w:line="240" w:lineRule="auto"/>
                          <w:ind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2.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Desarrollo P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</w:p>
                      <w:p w14:paraId="332AEDC3" w14:textId="5DCBCE3D">
                        <w:pPr>
                          <w:spacing w:after="0" w:line="240" w:lineRule="auto"/>
                          <w:ind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Capstone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  <v:shape id="shape 3" o:spid="_x0000_s3" o:spt="1" type="#_x0000_t1" style="position:absolute;left:0;top:0;width:9931;height:14868;visibility:visible;" fillcolor="#1F3963" stroked="f" strokeweight="1.00pt">
                  <v:stroke dashstyle="solid"/>
                </v:shape>
              </v:group>
            </w:pict>
          </mc:Fallback>
        </mc:AlternateContent>
      </w:r>
      <w:r>
        <w:rPr>
          <w:b/>
        </w:rPr>
      </w:r>
      <w:r>
        <w:rPr>
          <w:b/>
        </w:rPr>
      </w:r>
    </w:p>
    <w:p w14:paraId="7F537762" w14:textId="77777777">
      <w:pPr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4017F60B" w14:textId="77777777">
      <w:pPr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7246DF2E" w14:textId="77777777">
      <w:pPr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23ECEA17" w14:textId="77777777">
      <w:pPr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52DD29EE" w14:textId="77777777">
      <w:pPr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p w14:paraId="099E646F" w14:textId="77777777">
      <w:pPr>
        <w:spacing/>
        <w:ind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  <w:r>
        <w:rPr>
          <w:rFonts w:cs="Calibri Light"/>
          <w:color w:val="595959" w:themeColor="text1" w:themeTint="A6"/>
          <w:sz w:val="24"/>
          <w:szCs w:val="24"/>
          <w:lang w:val="es-ES"/>
        </w:rPr>
      </w:r>
    </w:p>
    <w:tbl>
      <w:tblPr>
        <w:tblStyle w:val="962"/>
        <w:tblInd w:w="-572" w:type="dxa"/>
        <w:tblW w:w="9639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>
        <w:trPr/>
        <w:tc>
          <w:tcPr>
            <w:tcBorders/>
            <w:tcW w:w="9639" w:type="dxa"/>
            <w:vAlign w:val="center"/>
          </w:tcPr>
          <w:p w14:paraId="1C7FA90E" w14:textId="2183587C">
            <w:pPr>
              <w:keepNext w:val="true"/>
              <w:spacing/>
              <w:ind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Proyecto APT</w:t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d9e2f3" w:themeFill="accent1" w:themeFillTint="33"/>
            <w:tcBorders/>
            <w:tcW w:w="9639" w:type="dxa"/>
            <w:vAlign w:val="center"/>
          </w:tcPr>
          <w:p w14:paraId="58A014EC" w14:textId="77777777">
            <w:pPr>
              <w:pStyle w:val="963"/>
              <w:keepNext w:val="true"/>
              <w:spacing/>
              <w:ind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</w:tr>
    </w:tbl>
    <w:p w14:paraId="57B7005F" w14:textId="77777777">
      <w:pPr>
        <w:keepNext w:val="true"/>
        <w:spacing w:after="0" w:before="0" w:line="80" w:lineRule="exact"/>
        <w:ind/>
        <w:rPr/>
      </w:pPr>
      <w:r>
        <w:rPr>
          <w:rFonts w:ascii="Calibri" w:hAnsi="Calibri" w:cs="Calibri"/>
          <w:color w:val="000000"/>
          <w:sz w:val="8"/>
          <w:szCs w:val="8"/>
        </w:rPr>
      </w:r>
      <w:r/>
    </w:p>
    <w:p w14:paraId="229616BA" w14:textId="77777777">
      <w:pPr>
        <w:keepNext w:val="true"/>
        <w:spacing w:after="0" w:before="0" w:line="80" w:lineRule="exact"/>
        <w:ind/>
        <w:rPr/>
      </w:pPr>
      <w:r>
        <w:rPr>
          <w:rFonts w:ascii="Calibri" w:hAnsi="Calibri" w:cs="Calibri"/>
          <w:color w:val="000000"/>
          <w:sz w:val="8"/>
          <w:szCs w:val="8"/>
        </w:rPr>
      </w:r>
      <w:r/>
    </w:p>
    <w:tbl>
      <w:tblPr>
        <w:tblStyle w:val="962"/>
        <w:tblInd w:w="-572" w:type="dxa"/>
        <w:tblW w:w="9639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>
        <w:trPr/>
        <w:tc>
          <w:tcPr>
            <w:tcBorders/>
            <w:tcW w:w="2528" w:type="dxa"/>
            <w:vAlign w:val="center"/>
          </w:tcPr>
          <w:p w14:paraId="72F2ABB8" w14:textId="77777777">
            <w:pPr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</w:t>
            </w:r>
            <w:r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Mar>
              <w:top w:w="65" w:type="dxa"/>
              <w:bottom w:w="65" w:type="dxa"/>
            </w:tcMar>
            <w:tcW w:w="7111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100" w:before="90" w:line="259" w:lineRule="auto"/>
              <w:ind w:right="0" w:firstLine="0"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SIGET Sistema Integral de Gestión de Equipos y Soporte Tecnológico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 xml:space="preserve">Grupo 7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ES"/>
              </w:rPr>
              <w:t xml:space="preserve"> -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Sección 704D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</w:r>
          </w:p>
          <w:p w14:paraId="1F795B6A">
            <w:pPr>
              <w:keepNext w:val="false"/>
              <w:keepLines w:val="true"/>
              <w:widowControl w:val="true"/>
              <w:spacing w:after="100" w:before="90" w:line="259" w:lineRule="auto"/>
              <w:ind w:right="0" w:firstLine="0" w:left="0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Corte de información: 16 de octubre de 2026.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</w:r>
          </w:p>
          <w:p w14:paraId="29B4DBC6">
            <w:pPr>
              <w:keepNext w:val="false"/>
              <w:keepLines w:val="true"/>
              <w:widowControl w:val="true"/>
              <w:spacing w:after="100" w:before="9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Equipo: Joaquín Riquelme, Diego Alcaino e Ignacio Troncoso.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Hasta el corte de este informe, SIGET cuenta con la definición del proyecto, requerimientos, arquitectura preliminar, mode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lo PostgreSQL de 34 tablas y entorno Docker. Se implementaron autenticación federada con Auth0, recuperación de acceso, administración de usuarios y RBAC, registro, modificación y consulta de activos, y las APIs del ciclo inicial de asignaciones y tickets.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El backend permite solicitar una categoría con disponibilidad, aprobar o rechazar la solicitud, consultar asignaciones, entregar un 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ctivo compatible y registrar su devolución con evaluación inicial. Un equipo operativo vuelve a Disponible; uno con falla o daño pasa a En revisión y genera o asocia un ticket. Estas operaciones cuentan con validaciones, control de permisos y trazabilidad.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Los objetivos de análisis y modelamiento tienen sus artefactos base disponibles; despliegue, desarrollo e integración presentan un incremento funcional verificado. La última ejecución local 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probó 266 pruebas, 68 con PostgreSQL real. El portal conserva el acceso y la estructura visual, pero aún falta conectar catálogo, solicitudes y tickets. También siguen pendientes PySide6, la operación posterior de taller y la validación integral de cierre.</w:t>
            </w:r>
            <w:r/>
          </w:p>
        </w:tc>
      </w:tr>
      <w:tr>
        <w:trPr/>
        <w:tc>
          <w:tcPr>
            <w:tcBorders/>
            <w:tcW w:w="2528" w:type="dxa"/>
            <w:vAlign w:val="center"/>
          </w:tcPr>
          <w:p w14:paraId="7942AC12" w14:textId="77777777">
            <w:pPr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Objetivos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Mar>
              <w:top w:w="65" w:type="dxa"/>
              <w:bottom w:w="65" w:type="dxa"/>
            </w:tcMar>
            <w:tcW w:w="7111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Se mantienen el objetivo general y los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seis objetivos específicos de la Guía 1.5 y del Acta de Constitución. No se reduce el alcance de Web, Escritorio, 34 tablas ni del ecosistema de dos APIs propias y tres externas. Los ajustes registrados corresponden a secuencia y distribución del trabajo.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Análisis y datos: documentación base y modelo disponibles. API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 y módulos: avance en activos, asignaciones y tickets iniciales; Web y Escritorio incompletos. Despliegue: entorno local verificado. QA y seguridad: pruebas y controles de acceso disponibles; rendimiento, seguridad integral e integración final pendientes.</w:t>
            </w:r>
            <w:r/>
          </w:p>
        </w:tc>
      </w:tr>
      <w:tr>
        <w:trPr/>
        <w:tc>
          <w:tcPr>
            <w:tcBorders/>
            <w:tcW w:w="2528" w:type="dxa"/>
            <w:vAlign w:val="center"/>
          </w:tcPr>
          <w:p w14:paraId="1064E097" w14:textId="77777777">
            <w:pPr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Metodología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Mar>
              <w:top w:w="65" w:type="dxa"/>
              <w:bottom w:w="65" w:type="dxa"/>
            </w:tcMar>
            <w:tcW w:w="7111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Se mantiene Scrum, con Joaquín R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iquelme como Product Owner, Diego Alcaino como Scrum Master y los tres integrantes en desarrollo. Los registros de seguimiento y retrospectiva de los Sprints 1 a 4 documentan la evolución inicial y el traslado de parte del alcance del Sprint 4 al Sprint 5.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Trello se utiliza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para el seguimiento de las tareas. El Product Backlog conserva la planificación y sus estados se actualizarán al cierre del Sprint 5. El avance técnico de este informe se determina con el código y las pruebas; no equivale a declarar cerrado todo el Sprint.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La definic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ión de terminado de la Guía 1.5 exige pruebas unitarias e integración, controles básicos de seguridad, funcionamiento en Docker y documentación versionada. La revisión distingue el backend preparado para PySide6 de una interfaz de Escritorio ya construida.</w:t>
            </w:r>
            <w:r/>
          </w:p>
        </w:tc>
      </w:tr>
      <w:tr>
        <w:trPr/>
        <w:tc>
          <w:tcPr>
            <w:tcBorders/>
            <w:tcW w:w="2528" w:type="dxa"/>
            <w:vAlign w:val="center"/>
          </w:tcPr>
          <w:p w14:paraId="0313DD97" w14:textId="77777777">
            <w:pPr>
              <w:spacing/>
              <w:ind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Evidencias de avance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  <w:tc>
          <w:tcPr>
            <w:tcBorders/>
            <w:tcMar>
              <w:top w:w="65" w:type="dxa"/>
              <w:bottom w:w="65" w:type="dxa"/>
            </w:tcMar>
            <w:tcW w:w="7111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[E1] Guía 1.5 y Acta de Constitución: fijan propósito, objetivos, alcance y planificación.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Consultar </w:t>
            </w:r>
            <w:hyperlink r:id="rId13" w:tooltip="https://github.com/NWOOD777/SIGET/blob/cb65f419e38a43e73a9d1b96d68d0bd041df5cb3/Fase%201/Evidencias%20Grupales/1.5_GuiaEstudiante_Fase%201_Definicion%20Proyecto%20APT%20%28Espa%C3%B1ol%29.docx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Guía 1.5</w:t>
              </w:r>
            </w:hyperlink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 · </w:t>
            </w:r>
            <w:hyperlink r:id="rId14" w:tooltip="https://github.com/NWOOD777/SIGET/blob/cb65f419e38a43e73a9d1b96d68d0bd041df5cb3/Fase%202/Evidencias%20Proyecto/Evidencias%20de%20documentaci%C3%B3n/Documentaci%C3%B3n/Acta%20de%20Constituci%C3%B3n%20SIGET.docx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Acta de Constitución</w:t>
              </w:r>
            </w:hyperlink>
            <w:r/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[E2] Product Backlog e Historias de Usuario: relacionan los flujos con sus criterios de aceptación. E3-H7 pide una categoría; E3-H20 identifica el activo físico al entregar.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Consultar </w:t>
            </w:r>
            <w:hyperlink r:id="rId15" w:tooltip="https://github.com/NWOOD777/SIGET/blob/cb65f419e38a43e73a9d1b96d68d0bd041df5cb3/Fase%202/Evidencias%20Proyecto/Evidencias%20de%20documentaci%C3%B3n/Documentaci%C3%B3n/Product%20Backlog%20SIGET.xlsx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Product Backlog</w:t>
              </w:r>
            </w:hyperlink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 · </w:t>
            </w:r>
            <w:hyperlink r:id="rId16" w:tooltip="https://github.com/NWOOD777/SIGET/blob/cb65f419e38a43e73a9d1b96d68d0bd041df5cb3/Fase%202/Evidencias%20Proyecto/Evidencias%20de%20documentaci%C3%B3n/Documentaci%C3%B3n/Historias%20de%20Usuario%20y%20criterios%20de%20aceptaci%C3%B3n%20SIGET.xlsx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Historias y criterios de aceptación</w:t>
              </w:r>
            </w:hyperlink>
            <w:r/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[E3] Arquitectura, UML y modelo de datos: documento preliminar, diagramas, diccionario y script init_siget_bd.sql. Sustentan diseño, relaciones y estados.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Consultar </w:t>
            </w:r>
            <w:hyperlink r:id="rId17" w:tooltip="https://github.com/NWOOD777/SIGET/blob/cb65f419e38a43e73a9d1b96d68d0bd041df5cb3/Fase%202/Evidencias%20Proyecto/Evidencias%20de%20documentaci%C3%B3n/Arquitectura/Documento%20de%20Dise%C3%B1o%20y%20Arquitectura%20Preliminar%20SIGET.docx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Diseño y arquitectura</w:t>
              </w:r>
            </w:hyperlink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 · </w:t>
            </w:r>
            <w:hyperlink r:id="rId18" w:tooltip="https://github.com/NWOOD777/SIGET/blob/cb65f419e38a43e73a9d1b96d68d0bd041df5cb3/Fase%202/Evidencias%20Proyecto/Evidencias%20de%20documentaci%C3%B3n/Modelo%20de%20Datos/diccionario%20de%20datos%20SIGET.xlsx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Modelo de datos</w:t>
              </w:r>
            </w:hyperlink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 · </w:t>
            </w:r>
            <w:hyperlink r:id="rId19" w:tooltip="https://github.com/NWOOD777/SIGET/blob/cb65f419e38a43e73a9d1b96d68d0bd041df5cb3/Fase%202/Evidencias%20Proyecto/Evidencias%20de%20sistema/Base%20de%20datos/init_siget_bd.sql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Script SQL</w:t>
              </w:r>
            </w:hyperlink>
            <w:r/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[E4] Código Django/DRF y API_DOCS.md: operaciones, permisos y contratos actuales; permiten reproducir consultas y registros sin presentar las interfaces pendientes como terminadas.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Consultar </w:t>
            </w:r>
            <w:hyperlink r:id="rId20" w:tooltip="https://github.com/NWOOD777/SIGET/blob/cb65f419e38a43e73a9d1b96d68d0bd041df5cb3/Fase%202/Evidencias%20Proyecto/Evidencias%20de%20sistema/Aplicaci%C3%B3n/API_DOCS.md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Documentación REST</w:t>
              </w:r>
            </w:hyperlink>
            <w:r/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[E5] Dockerfile, docker-compose.yml, .env.example y README de Aplicación: instrucciones y configuración de ejecución del backend y PostgreSQL.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Consultar </w:t>
            </w:r>
            <w:hyperlink r:id="rId21" w:tooltip="https://github.com/NWOOD777/SIGET/blob/cb65f419e38a43e73a9d1b96d68d0bd041df5cb3/Fase%202/Evidencias%20Proyecto/Evidencias%20de%20sistema/Aplicaci%C3%B3n/README.md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Ejecución y configuración</w:t>
              </w:r>
            </w:hyperlink>
            <w:r/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[E6] Prueb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as versionadas: usuarios/tests, activos/tests, asignaciones/tests y tickets/tests. La última ejecución local disponible registró «Ran 266 tests in 15.224s — OK», con 68 pruebas sobre PostgreSQL real y 198 con dobles de prueba. Pyright finalizó sin errores.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Consultar </w:t>
            </w:r>
            <w:hyperlink r:id="rId22" w:tooltip="https://github.com/NWOOD777/SIGET/tree/cb65f419e38a43e73a9d1b96d68d0bd041df5cb3/Fase%202/Evidencias%20Proyecto/Evidencias%20de%20sistema/Aplicaci%C3%B3n/siget_web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Pruebas del backend</w:t>
              </w:r>
            </w:hyperlink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 · </w:t>
            </w:r>
            <w:hyperlink r:id="rId23" w:tooltip="https://github.com/NWOOD777/SIGET/blob/cb65f419e38a43e73a9d1b96d68d0bd041df5cb3/Fase%202/Evidencias%20Proyecto/Evidencias%20de%20sistema/Aplicaci%C3%B3n/siget_web/asignaciones/tests/test_e3_h8_integracion_postgresql.py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Pruebas E3-H8</w:t>
              </w:r>
            </w:hyperlink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 · </w:t>
            </w:r>
            <w:hyperlink r:id="rId24" w:tooltip="https://github.com/NWOOD777/SIGET/blob/cb65f419e38a43e73a9d1b96d68d0bd041df5cb3/Fase%202/Evidencias%20Proyecto/Evidencias%20de%20sistema/Aplicaci%C3%B3n/siget_web/asignaciones/tests/test_e4_h11_integracion_postgresql.py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Pruebas E4-H11</w:t>
              </w:r>
            </w:hyperlink>
            <w:r/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La suite 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se ejecuta en una base PostgreSQL de pruebas separada. Los casos comprueban reglas, permisos, persistencia y reversión de operaciones ante fallas. El cierre de QA aún requiere pruebas de rendimiento, seguridad integral y el flujo externo completo de Auth0.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[E7] Seguimiento Scrum: Sprint Backlogs, registros de reuniones y retrospectivas de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ES"/>
              </w:rPr>
              <w:t xml:space="preserve"> cada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Sprint</w:t>
            </w:r>
            <w:r>
              <w:rPr>
                <w:rFonts w:ascii="Calibri" w:hAnsi="Calibri" w:cs="Calibri"/>
                <w:color w:val="000000"/>
                <w:sz w:val="20"/>
                <w:szCs w:val="20"/>
                <w:lang w:val="es-ES"/>
              </w:rPr>
              <w:t xml:space="preserve">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Consultar </w:t>
            </w:r>
            <w:hyperlink r:id="rId25" w:tooltip="https://github.com/NWOOD777/SIGET/tree/cb65f419e38a43e73a9d1b96d68d0bd041df5cb3/Fase%202/Evidencias%20Proyecto/Evidencias%20de%20documentaci%C3%B3n/Scrum" w:history="1">
              <w:r>
                <w:rPr>
                  <w:rFonts w:ascii="Calibri" w:hAnsi="Calibri" w:cs="Calibri"/>
                  <w:color w:val="0563c1"/>
                  <w:sz w:val="19"/>
                  <w:szCs w:val="19"/>
                  <w:u w:val="single"/>
                </w:rPr>
                <w:t xml:space="preserve">Seguimiento Scrum</w:t>
              </w:r>
            </w:hyperlink>
            <w:r/>
            <w:r/>
          </w:p>
        </w:tc>
      </w:tr>
    </w:tbl>
    <w:tbl>
      <w:tblPr>
        <w:tblStyle w:val="962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>
        <w:trPr/>
        <w:tc>
          <w:tcPr>
            <w:tcBorders/>
            <w:tcW w:w="9640" w:type="dxa"/>
            <w:vAlign w:val="center"/>
          </w:tcPr>
          <w:p w14:paraId="26CA16E7" w14:textId="77777777">
            <w:pPr>
              <w:keepNext w:val="true"/>
              <w:spacing/>
              <w:ind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2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d9e2f3" w:themeFill="accent1" w:themeFillTint="33"/>
            <w:tcBorders/>
            <w:tcW w:w="9640" w:type="dxa"/>
            <w:vAlign w:val="center"/>
          </w:tcPr>
          <w:p w14:paraId="130D7DED" w14:textId="5701F8AA">
            <w:pPr>
              <w:keepNext w:val="true"/>
              <w:spacing/>
              <w:ind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>
              <w:rPr>
                <w:rFonts w:ascii="Calibri" w:hAnsi="Calibri"/>
                <w:color w:val="1f3864" w:themeColor="accent1" w:themeShade="80"/>
              </w:rPr>
              <w:t xml:space="preserve">y ajustes.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</w:tr>
    </w:tbl>
    <w:p w14:paraId="5DABEEF6" w14:textId="59A60B1E">
      <w:pPr>
        <w:keepNext w:val="true"/>
        <w:spacing w:after="0" w:before="0" w:line="80" w:lineRule="exact"/>
        <w:ind/>
        <w:rPr/>
      </w:pPr>
      <w:r>
        <w:rPr>
          <w:rFonts w:ascii="Calibri" w:hAnsi="Calibri" w:cs="Calibri"/>
          <w:color w:val="000000"/>
          <w:sz w:val="8"/>
          <w:szCs w:val="8"/>
        </w:rPr>
      </w:r>
      <w:r/>
    </w:p>
    <w:tbl>
      <w:tblPr>
        <w:tblStyle w:val="962"/>
        <w:tblW w:w="977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250"/>
        <w:gridCol w:w="1276"/>
        <w:gridCol w:w="950"/>
        <w:gridCol w:w="1300"/>
        <w:gridCol w:w="1100"/>
        <w:gridCol w:w="1300"/>
        <w:gridCol w:w="1300"/>
      </w:tblGrid>
      <w:tr>
        <w:trPr>
          <w:tblHeader/>
        </w:trPr>
        <w:tc>
          <w:tcPr>
            <w:gridSpan w:val="8"/>
            <w:tcBorders/>
            <w:tcW w:w="9776" w:type="dxa"/>
            <w:vAlign w:val="center"/>
          </w:tcPr>
          <w:p w14:paraId="0EAB9185" w14:textId="77777777">
            <w:pPr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Plan de Trabajo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Se conservan las diez actividades, duraciones y responsables del plan base de la Guía 1.5. S indica semana académica; son plazos planificados, no horas ni fechas de ejecución comprobadas. El estado corresponde al corte del informe.</w:t>
            </w:r>
            <w:r/>
          </w:p>
        </w:tc>
      </w:tr>
      <w:tr>
        <w:trPr>
          <w:tblHeader/>
        </w:trPr>
        <w:tc>
          <w:tcPr>
            <w:tcBorders/>
            <w:tcW w:w="1300" w:type="dxa"/>
            <w:vAlign w:val="center"/>
          </w:tcPr>
          <w:p w14:paraId="29F5C735" w14:textId="77777777">
            <w:pPr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50" w:type="dxa"/>
            <w:vAlign w:val="center"/>
          </w:tcPr>
          <w:p w14:paraId="54E7FFFD" w14:textId="77777777">
            <w:pPr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Actividades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276" w:type="dxa"/>
            <w:vAlign w:val="center"/>
          </w:tcPr>
          <w:p w14:paraId="63546E8A" w14:textId="77777777">
            <w:pPr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Recursos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950" w:type="dxa"/>
            <w:vAlign w:val="center"/>
          </w:tcPr>
          <w:p w14:paraId="392197F9" w14:textId="77777777">
            <w:pPr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Duración de la actividad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300" w:type="dxa"/>
            <w:vAlign w:val="center"/>
          </w:tcPr>
          <w:p w14:paraId="58CFFE40" w14:textId="77777777">
            <w:pPr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Responsable</w:t>
            </w:r>
            <w:r>
              <w:rPr>
                <w:rStyle w:val="967"/>
                <w:rFonts w:ascii="Calibri" w:hAnsi="Calibri"/>
                <w:color w:val="1f3864" w:themeColor="accent1" w:themeShade="80"/>
                <w:sz w:val="18"/>
              </w:rPr>
              <w:footnoteReference w:id="2"/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100" w:type="dxa"/>
            <w:vAlign w:val="center"/>
          </w:tcPr>
          <w:p w14:paraId="3E59D270" w14:textId="77777777">
            <w:pPr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Observa­ciones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300" w:type="dxa"/>
            <w:vAlign w:val="center"/>
          </w:tcPr>
          <w:p w14:paraId="16EAEFD4" w14:textId="77777777">
            <w:pPr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Estado de avance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  <w:tc>
          <w:tcPr>
            <w:tcBorders/>
            <w:tcW w:w="1300" w:type="dxa"/>
            <w:vAlign w:val="center"/>
          </w:tcPr>
          <w:p w14:paraId="4DFF4306" w14:textId="77777777">
            <w:pPr>
              <w:spacing/>
              <w:ind/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justes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  <w:r>
              <w:rPr>
                <w:rFonts w:ascii="Calibri" w:hAnsi="Calibri"/>
                <w:color w:val="1f3864" w:themeColor="accent1" w:themeShade="80"/>
                <w:sz w:val="18"/>
              </w:rPr>
            </w:r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Análisis y arquitectura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1. Requisitos y diseño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HU, UML y mockups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4 sem.</w:t>
              <w:br/>
              <w:t xml:space="preserve">S1–S4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Joaquín Riquelme</w:t>
              <w:br/>
              <w:t xml:space="preserve">Diego Alcaino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Diseño base listo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Completado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Refinar diseño</w:t>
            </w:r>
            <w:r/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Ambientes de software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2. Docker y Git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GitHub, Docker y Compose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 sem.</w:t>
              <w:br/>
              <w:t xml:space="preserve">S5–S6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Ignacio Troncoso</w:t>
              <w:br/>
              <w:t xml:space="preserve">Joaquín Riquelme</w:t>
              <w:br/>
              <w:t xml:space="preserve">Diego Alcaino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Entorno base listo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Completado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Guía de uso</w:t>
            </w:r>
            <w:r/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Modelos de datos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3. Base de datos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PostgreSQL, SQL y ORM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4 sem.</w:t>
              <w:br/>
              <w:t xml:space="preserve">S5–S8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Ignacio Troncoso</w:t>
              <w:br/>
              <w:t xml:space="preserve">Joaquín Riquelme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34 tablas</w:t>
              <w:br/>
              <w:t xml:space="preserve">diccionario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Completado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Validar flujos</w:t>
            </w:r>
            <w:r/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Desarrollo de software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4. Plataforma Web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Django, HTML, CSS y JS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6 sem.</w:t>
              <w:br/>
              <w:t xml:space="preserve">S7–S12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Ignacio Troncoso</w:t>
              <w:br/>
              <w:t xml:space="preserve">Diego Alcaino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Acceso</w:t>
              <w:br/>
              <w:t xml:space="preserve">faltan pantallas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En curso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Conectar portal Web</w:t>
            </w:r>
            <w:r/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Integración de sistemas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5. APIs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DRF, PostgreSQL y Auth0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4 sem.</w:t>
              <w:br/>
              <w:t xml:space="preserve">S9–S12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Joaquín Riquelme</w:t>
              <w:br/>
              <w:t xml:space="preserve">Ignacio Troncoso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Ciclo inicial listo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En curso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Correo, QR y taller</w:t>
            </w:r>
            <w:r/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Soluciones integrales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6. Escritorio PySide6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PySide6 y cliente REST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5 sem.</w:t>
              <w:br/>
              <w:t xml:space="preserve">S11–S15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Ignacio Troncoso</w:t>
              <w:br/>
              <w:t xml:space="preserve">Diego Alcaino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Cliente pendiente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No iniciado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Integrar APIs</w:t>
            </w:r>
            <w:r/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Seguridad TI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7. Seguridad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Auth0, RBAC y Django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3 sem.</w:t>
              <w:br/>
              <w:t xml:space="preserve">S14–S16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Ignacio Troncoso</w:t>
              <w:br/>
              <w:t xml:space="preserve">Joaquín Riquelme</w:t>
              <w:br/>
              <w:t xml:space="preserve">Diego Alcaino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Controles básicos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En curso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Auditar seguridad</w:t>
            </w:r>
            <w:r/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Calidad de software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8. Plan QA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Django Test Runner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12 sem.</w:t>
              <w:br/>
              <w:t xml:space="preserve">S5–S16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Joaquín Riquelme</w:t>
              <w:br/>
              <w:t xml:space="preserve">Diego Alcaino</w:t>
              <w:br/>
              <w:t xml:space="preserve">Ignacio Troncoso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266 pruebas aprobadas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En curso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Pruebas finales</w:t>
            </w:r>
            <w:r/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Gestión de proyectos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9. Cierre documental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Guías, README y evidencias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 sem.</w:t>
              <w:br/>
              <w:t xml:space="preserve">S15–S16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Diego Alcaino</w:t>
              <w:br/>
              <w:t xml:space="preserve">Joaquín Riquelme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Guías en revisión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En curso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Cerrar evidencias</w:t>
            </w:r>
            <w:r/>
          </w:p>
        </w:tc>
      </w:tr>
      <w:tr>
        <w:trPr>
          <w:cantSplit/>
        </w:trPr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Gestión y comunicación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10. Presentación y defensa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276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PowerPoint y demo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95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2 sem.</w:t>
              <w:br/>
              <w:t xml:space="preserve">S17–S18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Joaquín Riquelme</w:t>
              <w:br/>
              <w:t xml:space="preserve">Diego Alcaino</w:t>
              <w:br/>
              <w:t xml:space="preserve">Ignacio Troncoso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1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Hito final previsto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No iniciado</w:t>
            </w:r>
            <w:r/>
          </w:p>
        </w:tc>
        <w:tc>
          <w:tcPr>
            <w:tcBorders/>
            <w:tcMar>
              <w:top w:w="65" w:type="dxa"/>
              <w:bottom w:w="65" w:type="dxa"/>
            </w:tcMar>
            <w:tcW w:w="1300" w:type="dxa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40" w:before="0" w:line="240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19"/>
                <w:szCs w:val="19"/>
              </w:rPr>
              <w:t xml:space="preserve">Preparar defensa</w:t>
            </w:r>
            <w:r/>
          </w:p>
        </w:tc>
      </w:tr>
    </w:tbl>
    <w:p w14:paraId="66FF4E8D" w14:textId="77777777">
      <w:pPr>
        <w:keepNext w:val="true"/>
        <w:spacing w:after="0" w:before="0" w:line="80" w:lineRule="exact"/>
        <w:ind/>
        <w:rPr/>
      </w:pPr>
      <w:r>
        <w:rPr>
          <w:rFonts w:ascii="Calibri" w:hAnsi="Calibri" w:cs="Calibri"/>
          <w:color w:val="000000"/>
          <w:sz w:val="8"/>
          <w:szCs w:val="8"/>
        </w:rPr>
      </w:r>
      <w:r/>
    </w:p>
    <w:tbl>
      <w:tblPr>
        <w:tblStyle w:val="962"/>
        <w:tblInd w:w="-572" w:type="dxa"/>
        <w:tblW w:w="9498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>
        <w:trPr/>
        <w:tc>
          <w:tcPr>
            <w:tcBorders/>
            <w:tcW w:w="9498" w:type="dxa"/>
            <w:vAlign w:val="center"/>
          </w:tcPr>
          <w:p w14:paraId="6B756D75" w14:textId="77777777">
            <w:pPr>
              <w:keepNext w:val="true"/>
              <w:spacing/>
              <w:ind/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  <w:r>
              <w:rPr>
                <w:b/>
                <w:color w:val="1f3864" w:themeColor="accent1" w:themeShade="80"/>
                <w:sz w:val="28"/>
                <w:szCs w:val="28"/>
              </w:rPr>
            </w:r>
          </w:p>
        </w:tc>
      </w:tr>
      <w:tr>
        <w:trPr/>
        <w:tc>
          <w:tcPr>
            <w:shd w:val="clear" w:color="auto" w:fill="d9e2f3" w:themeFill="accent1" w:themeFillTint="33"/>
            <w:tcBorders/>
            <w:tcW w:w="9498" w:type="dxa"/>
            <w:vAlign w:val="center"/>
          </w:tcPr>
          <w:p w14:paraId="5EF8C712" w14:textId="6A7F5694">
            <w:pPr>
              <w:pStyle w:val="963"/>
              <w:keepNext w:val="true"/>
              <w:spacing/>
              <w:ind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</w:t>
            </w:r>
            <w:r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>
              <w:rPr>
                <w:rFonts w:ascii="Calibri" w:hAnsi="Calibri"/>
                <w:color w:val="1f3864" w:themeColor="accent1" w:themeShade="80"/>
              </w:rPr>
              <w:t xml:space="preserve">obst</w:t>
            </w:r>
            <w:r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>
              <w:rPr>
                <w:rFonts w:ascii="Calibri" w:hAnsi="Calibri"/>
                <w:color w:val="1f3864" w:themeColor="accent1" w:themeShade="80"/>
              </w:rPr>
              <w:t xml:space="preserve">cómo abordaste y/o abordarás</w:t>
            </w:r>
            <w:r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  <w:r>
              <w:rPr>
                <w:rFonts w:ascii="Calibri" w:hAnsi="Calibri"/>
                <w:color w:val="1f3864" w:themeColor="accent1" w:themeShade="80"/>
              </w:rPr>
            </w:r>
            <w:r>
              <w:rPr>
                <w:rFonts w:ascii="Calibri" w:hAnsi="Calibri"/>
                <w:color w:val="1f3864" w:themeColor="accent1" w:themeShade="80"/>
              </w:rPr>
            </w:r>
          </w:p>
        </w:tc>
      </w:tr>
    </w:tbl>
    <w:p w14:paraId="5C111E8F" w14:textId="77777777">
      <w:pPr>
        <w:keepNext w:val="true"/>
        <w:spacing w:after="0" w:before="0" w:line="80" w:lineRule="exact"/>
        <w:ind/>
        <w:rPr/>
      </w:pPr>
      <w:r>
        <w:rPr>
          <w:rFonts w:ascii="Calibri" w:hAnsi="Calibri" w:cs="Calibri"/>
          <w:color w:val="000000"/>
          <w:sz w:val="8"/>
          <w:szCs w:val="8"/>
        </w:rPr>
      </w:r>
      <w:r/>
    </w:p>
    <w:tbl>
      <w:tblPr>
        <w:tblStyle w:val="962"/>
        <w:tblW w:w="559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>
        <w:trPr/>
        <w:tc>
          <w:tcPr>
            <w:tcBorders/>
            <w:tcMar>
              <w:top w:w="65" w:type="dxa"/>
              <w:bottom w:w="65" w:type="dxa"/>
            </w:tcMar>
            <w:tcW w:w="5000" w:type="pct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100" w:before="9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Factores facilitadores y dificultades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 xml:space="preserve">La arquitectura compartida, PostgreSQL y el uso de Python facilitan integrar ambos clientes. Docker permite reproducir el entorno y las pruebas ayudan a detectar incompatibilidades entre módulos.</w:t>
            </w:r>
            <w:r/>
          </w:p>
          <w:p>
            <w:pPr>
              <w:pStyle w:val="956"/>
              <w:keepNext w:val="false"/>
              <w:keepLines w:val="true"/>
              <w:widowControl w:val="true"/>
              <w:spacing w:after="100" w:before="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La retrospectiva del Sprint 4 registra postergaciones por planificación académica, trasladadas al Sprint 5. Los conflictos recientes de Git se resolvieron conser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vando las contribuciones y comprobando la integración con pruebas. Para continuar se priorizan las pantallas Web y los criterios de aceptación. La práctica profesional paralela sigue siendo un riesgo de disponibilidad de tiempo identificado en la Guía 1.5.</w:t>
            </w:r>
            <w:r/>
          </w:p>
        </w:tc>
      </w:tr>
    </w:tbl>
    <w:p w14:paraId="7BD7514A" w14:textId="77777777">
      <w:pPr>
        <w:keepNext w:val="true"/>
        <w:spacing w:after="0" w:before="0" w:line="80" w:lineRule="exact"/>
        <w:ind/>
        <w:rPr/>
      </w:pPr>
      <w:r>
        <w:rPr>
          <w:rFonts w:ascii="Calibri" w:hAnsi="Calibri" w:cs="Calibri"/>
          <w:color w:val="000000"/>
          <w:sz w:val="8"/>
          <w:szCs w:val="8"/>
        </w:rPr>
      </w:r>
      <w:r/>
    </w:p>
    <w:tbl>
      <w:tblPr>
        <w:tblStyle w:val="962"/>
        <w:tblW w:w="5588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>
        <w:trPr/>
        <w:tc>
          <w:tcPr>
            <w:tcBorders/>
            <w:tcMar>
              <w:top w:w="65" w:type="dxa"/>
              <w:bottom w:w="65" w:type="dxa"/>
            </w:tcMar>
            <w:tcW w:w="5000" w:type="pct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100" w:before="90" w:line="259" w:lineRule="auto"/>
              <w:ind w:right="0" w:firstLine="0" w:left="0"/>
              <w:jc w:val="left"/>
              <w:rPr>
                <w:rFonts w:ascii="Calibri" w:hAnsi="Calibri" w:cs="Calibri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Actividades ajustadas o eliminadas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 xml:space="preserve">El alcance funcional pendiente del Sprint 4 se trasladó al Sprint 5, manteniendo los objetivos.</w:t>
            </w:r>
            <w:r>
              <w:rPr>
                <w:rFonts w:ascii="Calibri" w:hAnsi="Calibri" w:cs="Calibri"/>
                <w:color w:val="000000"/>
                <w:sz w:val="20"/>
                <w:szCs w:val="20"/>
                <w:highlight w:val="none"/>
              </w:rPr>
            </w:r>
          </w:p>
          <w:p w14:paraId="5CF52081">
            <w:pP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Debido a la extensión del Sprint 5 hasta el 18 de octubre de 2026, el inicio del Sprint 6 se reprogramó del 13 al 19 de octubre, manteniendo su término el 26 de octubre de 2026. Este ajuste reduce el tiempo disponible para la iteración, por lo que se revis</w:t>
            </w:r>
            <w:r>
              <w:rPr>
                <w:sz w:val="20"/>
                <w:szCs w:val="20"/>
              </w:rPr>
              <w:t xml:space="preserve">ará la capacidad del equipo y se priorizarán las actividades previstas. Cualquier traslado de historias se registrará en el Product Backlog y en el seguimiento del Sprint.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4B435A76" w14:textId="0F0AF681">
      <w:pPr>
        <w:keepNext w:val="true"/>
        <w:spacing w:after="0" w:before="0" w:line="80" w:lineRule="exact"/>
        <w:ind/>
        <w:rPr/>
      </w:pPr>
      <w:r>
        <w:rPr>
          <w:rFonts w:ascii="Calibri" w:hAnsi="Calibri" w:cs="Calibri"/>
          <w:color w:val="000000"/>
          <w:sz w:val="8"/>
          <w:szCs w:val="8"/>
        </w:rPr>
      </w:r>
      <w:r/>
    </w:p>
    <w:p w14:paraId="329F7673" w14:textId="77777777">
      <w:pPr>
        <w:keepNext w:val="true"/>
        <w:spacing w:after="0" w:before="0" w:line="80" w:lineRule="exact"/>
        <w:ind/>
        <w:rPr/>
      </w:pPr>
      <w:r>
        <w:rPr>
          <w:rFonts w:ascii="Calibri" w:hAnsi="Calibri" w:cs="Calibri"/>
          <w:color w:val="000000"/>
          <w:sz w:val="8"/>
          <w:szCs w:val="8"/>
        </w:rPr>
      </w:r>
      <w:r/>
    </w:p>
    <w:tbl>
      <w:tblPr>
        <w:tblStyle w:val="962"/>
        <w:tblInd w:w="-572" w:type="dxa"/>
        <w:tblW w:w="5591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>
        <w:trPr/>
        <w:tc>
          <w:tcPr>
            <w:tcBorders/>
            <w:tcMar>
              <w:top w:w="65" w:type="dxa"/>
              <w:bottom w:w="65" w:type="dxa"/>
            </w:tcMar>
            <w:tcW w:w="5000" w:type="pct"/>
            <w:vAlign w:val="top"/>
          </w:tcPr>
          <w:p>
            <w:pPr>
              <w:pStyle w:val="956"/>
              <w:keepNext w:val="false"/>
              <w:keepLines w:val="true"/>
              <w:widowControl w:val="true"/>
              <w:spacing w:after="100" w:before="90" w:line="259" w:lineRule="auto"/>
              <w:ind w:right="0" w:firstLine="0" w:left="0"/>
              <w:jc w:val="left"/>
              <w:rPr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</w:rPr>
              <w:t xml:space="preserve">Actividades no iniciadas o retrasadas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br/>
              <w:t xml:space="preserve">Faltan las pantallas Web conectadas de catálogo, solic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itud y tickets. E3-H7 y E5-H13 continúan incompletas como historias de autoservicio. PySide6, gestión posterior de tickets, diagnósticos, órdenes de trabajo y correo siguen planificados desde Sprint 6; los demás incrementos mantienen la secuencia del acta.</w:t>
            </w:r>
            <w:r/>
          </w:p>
          <w:p w14:paraId="6E6C6E53">
            <w:pPr>
              <w:spacing/>
              <w:ind w:right="0" w:firstLine="0"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Sprint 5, inicialmente planificado entre el 29 de septiembre y el 12 de octubre de 2026, extendió su duración hasta el 18 de octubre de 2026. Se conserva el período original como referencia y se registra el 18 de octubre como fecha de término reprograma</w:t>
            </w:r>
            <w:r>
              <w:rPr>
                <w:sz w:val="20"/>
                <w:szCs w:val="20"/>
              </w:rPr>
              <w:t xml:space="preserve">da. Al cierre se documentarán las actividades completadas y los pendientes que deban trasladarse.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23A72E3B" w14:textId="77777777">
      <w:pPr>
        <w:keepNext w:val="true"/>
        <w:spacing w:after="0" w:before="0" w:line="80" w:lineRule="exact"/>
        <w:ind/>
        <w:rPr/>
      </w:pPr>
      <w:r>
        <w:rPr>
          <w:rFonts w:ascii="Calibri" w:hAnsi="Calibri" w:cs="Calibri"/>
          <w:color w:val="000000"/>
          <w:sz w:val="8"/>
          <w:szCs w:val="8"/>
        </w:rPr>
      </w:r>
      <w:r/>
    </w:p>
    <w:sectPr>
      <w:headerReference w:type="default" r:id="rId9"/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1631069C" w14:textId="77777777">
      <w:pPr>
        <w:spacing w:after="0" w:line="240" w:lineRule="auto"/>
        <w:ind/>
        <w:rPr/>
      </w:pPr>
      <w:r>
        <w:separator/>
      </w:r>
      <w:r/>
    </w:p>
  </w:endnote>
  <w:endnote w:type="continuationSeparator" w:id="0">
    <w:p w14:paraId="69B8617C" w14:textId="77777777">
      <w:pPr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Calibri Light">
    <w:panose1 w:val="020F0302020204030204"/>
  </w:font>
  <w:font w:name="Century Gothic">
    <w:panose1 w:val="020B0503020204020204"/>
  </w:font>
  <w:font w:name="Segoe UI">
    <w:panose1 w:val="020B0502040204020203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421B8F5" w14:textId="77777777">
      <w:pPr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62472A8" w14:textId="77777777">
      <w:pPr>
        <w:spacing w:after="0" w:line="240" w:lineRule="auto"/>
        <w:ind/>
        <w:rPr/>
      </w:pPr>
      <w:r>
        <w:continuationSeparator/>
      </w:r>
      <w:r/>
    </w:p>
  </w:footnote>
  <w:footnote w:id="2">
    <w:p w14:paraId="4451B7D5" w14:textId="77777777">
      <w:pPr>
        <w:pStyle w:val="965"/>
        <w:spacing/>
        <w:ind/>
        <w:rPr>
          <w:color w:val="595959" w:themeColor="text1" w:themeTint="A6"/>
        </w:rPr>
      </w:pPr>
      <w:r>
        <w:rPr>
          <w:rStyle w:val="967"/>
          <w:color w:val="595959" w:themeColor="text1" w:themeTint="A6"/>
        </w:rPr>
        <w:footnoteRef/>
      </w:r>
      <w:r>
        <w:rPr>
          <w:color w:val="595959" w:themeColor="text1" w:themeTint="A6"/>
        </w:rPr>
        <w:t xml:space="preserve"> </w:t>
      </w:r>
      <w:r>
        <w:rPr>
          <w:color w:val="595959" w:themeColor="text1" w:themeTint="A6"/>
          <w:lang w:val="es-CL"/>
        </w:rPr>
        <w:t xml:space="preserve"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>
        <w:rPr>
          <w:color w:val="595959" w:themeColor="text1" w:themeTint="A6"/>
          <w:lang w:val="es-CL"/>
        </w:rPr>
        <w:t xml:space="preserve">indicar el nombre de los responsables de cada tarea o actividad. Esto posteriormente permitirá diferenciar la evaluación por cada integrante.</w:t>
      </w:r>
      <w:r>
        <w:rPr>
          <w:color w:val="595959" w:themeColor="text1" w:themeTint="A6"/>
        </w:rPr>
      </w:r>
      <w:r>
        <w:rPr>
          <w:color w:val="595959" w:themeColor="text1" w:themeTint="A6"/>
        </w:rPr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970"/>
      <w:tblInd w:w="-709" w:type="dxa"/>
      <w:tblW w:w="10170" w:type="dxa"/>
      <w:tblBorders/>
      <w:tblLook w:val="04A0" w:firstRow="1" w:lastRow="0" w:firstColumn="1" w:lastColumn="0" w:noHBand="0" w:noVBand="1"/>
    </w:tblPr>
    <w:tblGrid>
      <w:gridCol w:w="5954"/>
      <w:gridCol w:w="4216"/>
    </w:tblGrid>
    <w:tr>
      <w:trPr>
        <w:trHeight w:val="697"/>
      </w:trPr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5954" w:type="dxa"/>
        </w:tcPr>
        <w:p w14:paraId="530B6B0B" w14:textId="7D543F41">
          <w:pPr>
            <w:spacing w:after="0"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Desarrollo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APT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  <w:p w14:paraId="7816626E" w14:textId="0166C12C">
          <w:pPr>
            <w:spacing w:after="0"/>
            <w:ind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2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r>
        </w:p>
      </w:tc>
      <w:tc>
        <w:tcPr>
          <w:tc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</w:tcBorders>
          <w:tcW w:w="4216" w:type="dxa"/>
        </w:tcPr>
        <w:p w14:paraId="0DCB0336" w14:textId="77777777">
          <w:pPr>
            <w:spacing/>
            <w:ind/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lang w:eastAsia="es-CL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996440" cy="428625"/>
                    <wp:effectExtent l="0" t="0" r="3810" b="9525"/>
                    <wp:docPr id="1" name="Imagen 3" descr="http://www.duoc.cl/normasgraficas/normasgraficas/marca-duoc/6logo-fondo-transparente/fondo-transparente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8" name="Imagen 18" descr="http://www.duoc.cl/normasgraficas/normasgraficas/marca-duoc/6logo-fondo-transparente/fondo-transparente.png"/>
                            <pic:cNvPicPr/>
                            <pic:nvPr/>
                          </pic:nvPicPr>
                          <pic:blipFill rotWithShape="1"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996440" cy="428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57.20pt;height:33.75pt;mso-wrap-distance-left:0.00pt;mso-wrap-distance-top:0.00pt;mso-wrap-distance-right:0.00pt;mso-wrap-distance-bottom:0.00pt;z-index:1;" alt="http://www.duoc.cl/normasgraficas/normasgraficas/marca-duoc/6logo-fondo-transparente/fondo-transparente.png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  <w: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r>
        </w:p>
      </w:tc>
    </w:tr>
  </w:tbl>
  <w:p w14:paraId="65679D53" w14:textId="77777777">
    <w:pPr>
      <w:pStyle w:val="968"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D4C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6">
    <w:name w:val="Table Grid Light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1">
    <w:name w:val="Heading 1"/>
    <w:basedOn w:val="956"/>
    <w:next w:val="956"/>
    <w:link w:val="90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2">
    <w:name w:val="Heading 2"/>
    <w:basedOn w:val="956"/>
    <w:next w:val="956"/>
    <w:link w:val="91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3">
    <w:name w:val="Heading 4"/>
    <w:basedOn w:val="956"/>
    <w:next w:val="956"/>
    <w:link w:val="91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4">
    <w:name w:val="Heading 5"/>
    <w:basedOn w:val="956"/>
    <w:next w:val="956"/>
    <w:link w:val="91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5">
    <w:name w:val="Heading 6"/>
    <w:basedOn w:val="956"/>
    <w:next w:val="956"/>
    <w:link w:val="91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6">
    <w:name w:val="Heading 7"/>
    <w:basedOn w:val="956"/>
    <w:next w:val="956"/>
    <w:link w:val="91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7">
    <w:name w:val="Heading 8"/>
    <w:basedOn w:val="956"/>
    <w:next w:val="956"/>
    <w:link w:val="91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8">
    <w:name w:val="Heading 9"/>
    <w:basedOn w:val="956"/>
    <w:next w:val="956"/>
    <w:link w:val="91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9">
    <w:name w:val="Heading 1 Char"/>
    <w:basedOn w:val="958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0">
    <w:name w:val="Heading 2 Char"/>
    <w:basedOn w:val="958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1">
    <w:name w:val="Heading 3 Char"/>
    <w:basedOn w:val="958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2">
    <w:name w:val="Heading 4 Char"/>
    <w:basedOn w:val="958"/>
    <w:link w:val="90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3">
    <w:name w:val="Heading 5 Char"/>
    <w:basedOn w:val="958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4">
    <w:name w:val="Heading 6 Char"/>
    <w:basedOn w:val="958"/>
    <w:link w:val="90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5">
    <w:name w:val="Heading 7 Char"/>
    <w:basedOn w:val="958"/>
    <w:link w:val="90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6">
    <w:name w:val="Heading 8 Char"/>
    <w:basedOn w:val="958"/>
    <w:link w:val="90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Heading 9 Char"/>
    <w:basedOn w:val="958"/>
    <w:link w:val="90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8">
    <w:name w:val="Title"/>
    <w:basedOn w:val="956"/>
    <w:next w:val="956"/>
    <w:link w:val="91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9">
    <w:name w:val="Title Char"/>
    <w:basedOn w:val="958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0">
    <w:name w:val="Subtitle"/>
    <w:basedOn w:val="956"/>
    <w:next w:val="956"/>
    <w:link w:val="92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1">
    <w:name w:val="Subtitle Char"/>
    <w:basedOn w:val="958"/>
    <w:link w:val="9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2">
    <w:name w:val="Quote"/>
    <w:basedOn w:val="956"/>
    <w:next w:val="956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3">
    <w:name w:val="Quote Char"/>
    <w:basedOn w:val="958"/>
    <w:link w:val="92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5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956"/>
    <w:next w:val="956"/>
    <w:link w:val="9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Quote Char"/>
    <w:basedOn w:val="958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9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0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32">
    <w:name w:val="Strong"/>
    <w:basedOn w:val="958"/>
    <w:uiPriority w:val="22"/>
    <w:qFormat/>
    <w:pPr>
      <w:pBdr/>
      <w:spacing/>
      <w:ind/>
    </w:pPr>
    <w:rPr>
      <w:b/>
      <w:bCs/>
    </w:rPr>
  </w:style>
  <w:style w:type="character" w:styleId="933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4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5">
    <w:name w:val="Header Char"/>
    <w:basedOn w:val="958"/>
    <w:link w:val="968"/>
    <w:uiPriority w:val="99"/>
    <w:pPr>
      <w:pBdr/>
      <w:spacing/>
      <w:ind/>
    </w:pPr>
  </w:style>
  <w:style w:type="character" w:styleId="936">
    <w:name w:val="Footer Char"/>
    <w:basedOn w:val="958"/>
    <w:link w:val="963"/>
    <w:uiPriority w:val="99"/>
    <w:pPr>
      <w:pBdr/>
      <w:spacing/>
      <w:ind/>
    </w:pPr>
  </w:style>
  <w:style w:type="paragraph" w:styleId="937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38">
    <w:name w:val="Footnote Text Char"/>
    <w:basedOn w:val="958"/>
    <w:link w:val="965"/>
    <w:uiPriority w:val="99"/>
    <w:semiHidden/>
    <w:pPr>
      <w:pBdr/>
      <w:spacing/>
      <w:ind/>
    </w:pPr>
    <w:rPr>
      <w:sz w:val="20"/>
      <w:szCs w:val="20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58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58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qFormat/>
    <w:pPr>
      <w:pBdr/>
      <w:spacing w:after="160" w:line="259" w:lineRule="auto"/>
      <w:ind/>
    </w:pPr>
    <w:rPr>
      <w:sz w:val="22"/>
      <w:szCs w:val="22"/>
    </w:rPr>
  </w:style>
  <w:style w:type="paragraph" w:styleId="957">
    <w:name w:val="Heading 3"/>
    <w:basedOn w:val="956"/>
    <w:next w:val="956"/>
    <w:link w:val="961"/>
    <w:uiPriority w:val="9"/>
    <w:unhideWhenUsed/>
    <w:qFormat/>
    <w:pPr>
      <w:keepNext w:val="true"/>
      <w:keepLines w:val="true"/>
      <w:pBdr/>
      <w:spacing w:after="0"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958" w:default="1">
    <w:name w:val="Default Paragraph Font"/>
    <w:uiPriority w:val="1"/>
    <w:semiHidden/>
    <w:unhideWhenUsed/>
    <w:pPr>
      <w:pBdr/>
      <w:spacing/>
      <w:ind/>
    </w:pPr>
  </w:style>
  <w:style w:type="table" w:styleId="9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0" w:default="1">
    <w:name w:val="No List"/>
    <w:uiPriority w:val="99"/>
    <w:semiHidden/>
    <w:unhideWhenUsed/>
    <w:pPr>
      <w:pBdr/>
      <w:spacing/>
      <w:ind/>
    </w:pPr>
  </w:style>
  <w:style w:type="character" w:styleId="961" w:customStyle="1">
    <w:name w:val="Título 3 Car"/>
    <w:basedOn w:val="958"/>
    <w:link w:val="957"/>
    <w:uiPriority w:val="9"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</w:rPr>
  </w:style>
  <w:style w:type="table" w:styleId="962">
    <w:name w:val="Table Grid"/>
    <w:basedOn w:val="959"/>
    <w:uiPriority w:val="39"/>
    <w:pPr>
      <w:pBdr/>
      <w:spacing/>
      <w:ind/>
    </w:pPr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63">
    <w:name w:val="Footer"/>
    <w:basedOn w:val="956"/>
    <w:link w:val="964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64" w:customStyle="1">
    <w:name w:val="Pie de página Car"/>
    <w:basedOn w:val="958"/>
    <w:link w:val="963"/>
    <w:uiPriority w:val="99"/>
    <w:pPr>
      <w:pBdr/>
      <w:spacing/>
      <w:ind/>
    </w:pPr>
    <w:rPr>
      <w:sz w:val="22"/>
      <w:szCs w:val="22"/>
    </w:rPr>
  </w:style>
  <w:style w:type="paragraph" w:styleId="965">
    <w:name w:val="footnote text"/>
    <w:basedOn w:val="956"/>
    <w:link w:val="966"/>
    <w:uiPriority w:val="99"/>
    <w:semiHidden/>
    <w:unhideWhenUsed/>
    <w:pPr>
      <w:pBdr/>
      <w:spacing w:after="0" w:line="240" w:lineRule="auto"/>
      <w:ind/>
    </w:pPr>
    <w:rPr>
      <w:sz w:val="20"/>
      <w:szCs w:val="20"/>
      <w:lang w:val="es-ES"/>
    </w:rPr>
  </w:style>
  <w:style w:type="character" w:styleId="966" w:customStyle="1">
    <w:name w:val="Texto nota pie Car"/>
    <w:basedOn w:val="958"/>
    <w:link w:val="965"/>
    <w:uiPriority w:val="99"/>
    <w:semiHidden/>
    <w:pPr>
      <w:pBdr/>
      <w:spacing/>
      <w:ind/>
    </w:pPr>
    <w:rPr>
      <w:sz w:val="20"/>
      <w:szCs w:val="20"/>
      <w:lang w:val="es-ES"/>
    </w:rPr>
  </w:style>
  <w:style w:type="character" w:styleId="967">
    <w:name w:val="footnote reference"/>
    <w:basedOn w:val="958"/>
    <w:unhideWhenUsed/>
    <w:pPr>
      <w:pBdr/>
      <w:spacing/>
      <w:ind/>
    </w:pPr>
    <w:rPr>
      <w:vertAlign w:val="superscript"/>
    </w:rPr>
  </w:style>
  <w:style w:type="paragraph" w:styleId="968">
    <w:name w:val="Header"/>
    <w:basedOn w:val="956"/>
    <w:link w:val="969"/>
    <w:uiPriority w:val="99"/>
    <w:unhideWhenUsed/>
    <w:pPr>
      <w:pBdr/>
      <w:tabs>
        <w:tab w:val="center" w:leader="none" w:pos="4419"/>
        <w:tab w:val="right" w:leader="none" w:pos="8838"/>
      </w:tabs>
      <w:spacing w:after="0" w:line="240" w:lineRule="auto"/>
      <w:ind/>
    </w:pPr>
  </w:style>
  <w:style w:type="character" w:styleId="969" w:customStyle="1">
    <w:name w:val="Encabezado Car"/>
    <w:basedOn w:val="958"/>
    <w:link w:val="968"/>
    <w:uiPriority w:val="99"/>
    <w:pPr>
      <w:pBdr/>
      <w:spacing/>
      <w:ind/>
    </w:pPr>
    <w:rPr>
      <w:sz w:val="22"/>
      <w:szCs w:val="22"/>
    </w:rPr>
  </w:style>
  <w:style w:type="table" w:styleId="970" w:customStyle="1">
    <w:name w:val="Tabla con cuadrícula1"/>
    <w:basedOn w:val="959"/>
    <w:next w:val="962"/>
    <w:uiPriority w:val="39"/>
    <w:pPr>
      <w:pBdr/>
      <w:spacing/>
      <w:ind/>
    </w:pPr>
    <w:rPr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1">
    <w:name w:val="Balloon Text"/>
    <w:basedOn w:val="956"/>
    <w:link w:val="972"/>
    <w:uiPriority w:val="99"/>
    <w:semiHidden/>
    <w:unhideWhenUsed/>
    <w:pPr>
      <w:pBdr/>
      <w:spacing w:after="0" w:line="240" w:lineRule="auto"/>
      <w:ind/>
    </w:pPr>
    <w:rPr>
      <w:rFonts w:ascii="Segoe UI" w:hAnsi="Segoe UI" w:cs="Segoe UI"/>
      <w:sz w:val="18"/>
      <w:szCs w:val="18"/>
    </w:rPr>
  </w:style>
  <w:style w:type="character" w:styleId="972" w:customStyle="1">
    <w:name w:val="Texto de globo Car"/>
    <w:basedOn w:val="958"/>
    <w:link w:val="971"/>
    <w:uiPriority w:val="99"/>
    <w:semiHidden/>
    <w:pPr>
      <w:pBdr/>
      <w:spacing/>
      <w:ind/>
    </w:pPr>
    <w:rPr>
      <w:rFonts w:ascii="Segoe UI" w:hAnsi="Segoe UI" w:cs="Segoe UI"/>
      <w:sz w:val="18"/>
      <w:szCs w:val="18"/>
    </w:rPr>
  </w:style>
  <w:style w:type="character" w:styleId="973">
    <w:name w:val="annotation reference"/>
    <w:basedOn w:val="95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74">
    <w:name w:val="annotation text"/>
    <w:basedOn w:val="956"/>
    <w:link w:val="975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75" w:customStyle="1">
    <w:name w:val="Texto comentario Car"/>
    <w:basedOn w:val="958"/>
    <w:link w:val="974"/>
    <w:uiPriority w:val="99"/>
    <w:semiHidden/>
    <w:pPr>
      <w:pBdr/>
      <w:spacing/>
      <w:ind/>
    </w:pPr>
    <w:rPr>
      <w:sz w:val="20"/>
      <w:szCs w:val="20"/>
    </w:rPr>
  </w:style>
  <w:style w:type="paragraph" w:styleId="976">
    <w:name w:val="annotation subject"/>
    <w:basedOn w:val="974"/>
    <w:next w:val="974"/>
    <w:link w:val="977"/>
    <w:uiPriority w:val="99"/>
    <w:semiHidden/>
    <w:unhideWhenUsed/>
    <w:pPr>
      <w:pBdr/>
      <w:spacing/>
      <w:ind/>
    </w:pPr>
    <w:rPr>
      <w:b/>
      <w:bCs/>
    </w:rPr>
  </w:style>
  <w:style w:type="character" w:styleId="977" w:customStyle="1">
    <w:name w:val="Asunto del comentario Car"/>
    <w:basedOn w:val="975"/>
    <w:link w:val="976"/>
    <w:uiPriority w:val="99"/>
    <w:semiHidden/>
    <w:pPr>
      <w:pBdr/>
      <w:spacing/>
      <w:ind/>
    </w:pPr>
    <w:rPr>
      <w:b/>
      <w:bCs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customXml" Target="../customXml/item3.xml" /><Relationship Id="rId13" Type="http://schemas.openxmlformats.org/officeDocument/2006/relationships/hyperlink" Target="https://github.com/NWOOD777/SIGET/blob/cb65f419e38a43e73a9d1b96d68d0bd041df5cb3/Fase%201/Evidencias%20Grupales/1.5_GuiaEstudiante_Fase%201_Definicion%20Proyecto%20APT%20%28Espa%C3%B1ol%29.docx" TargetMode="External"/><Relationship Id="rId14" Type="http://schemas.openxmlformats.org/officeDocument/2006/relationships/hyperlink" Target="https://github.com/NWOOD777/SIGET/blob/cb65f419e38a43e73a9d1b96d68d0bd041df5cb3/Fase%202/Evidencias%20Proyecto/Evidencias%20de%20documentaci%C3%B3n/Documentaci%C3%B3n/Acta%20de%20Constituci%C3%B3n%20SIGET.docx" TargetMode="External"/><Relationship Id="rId15" Type="http://schemas.openxmlformats.org/officeDocument/2006/relationships/hyperlink" Target="https://github.com/NWOOD777/SIGET/blob/cb65f419e38a43e73a9d1b96d68d0bd041df5cb3/Fase%202/Evidencias%20Proyecto/Evidencias%20de%20documentaci%C3%B3n/Documentaci%C3%B3n/Product%20Backlog%20SIGET.xlsx" TargetMode="External"/><Relationship Id="rId16" Type="http://schemas.openxmlformats.org/officeDocument/2006/relationships/hyperlink" Target="https://github.com/NWOOD777/SIGET/blob/cb65f419e38a43e73a9d1b96d68d0bd041df5cb3/Fase%202/Evidencias%20Proyecto/Evidencias%20de%20documentaci%C3%B3n/Documentaci%C3%B3n/Historias%20de%20Usuario%20y%20criterios%20de%20aceptaci%C3%B3n%20SIGET.xlsx" TargetMode="External"/><Relationship Id="rId17" Type="http://schemas.openxmlformats.org/officeDocument/2006/relationships/hyperlink" Target="https://github.com/NWOOD777/SIGET/blob/cb65f419e38a43e73a9d1b96d68d0bd041df5cb3/Fase%202/Evidencias%20Proyecto/Evidencias%20de%20documentaci%C3%B3n/Arquitectura/Documento%20de%20Dise%C3%B1o%20y%20Arquitectura%20Preliminar%20SIGET.docx" TargetMode="External"/><Relationship Id="rId18" Type="http://schemas.openxmlformats.org/officeDocument/2006/relationships/hyperlink" Target="https://github.com/NWOOD777/SIGET/blob/cb65f419e38a43e73a9d1b96d68d0bd041df5cb3/Fase%202/Evidencias%20Proyecto/Evidencias%20de%20documentaci%C3%B3n/Modelo%20de%20Datos/diccionario%20de%20datos%20SIGET.xlsx" TargetMode="External"/><Relationship Id="rId19" Type="http://schemas.openxmlformats.org/officeDocument/2006/relationships/hyperlink" Target="https://github.com/NWOOD777/SIGET/blob/cb65f419e38a43e73a9d1b96d68d0bd041df5cb3/Fase%202/Evidencias%20Proyecto/Evidencias%20de%20sistema/Base%20de%20datos/init_siget_bd.sql" TargetMode="External"/><Relationship Id="rId20" Type="http://schemas.openxmlformats.org/officeDocument/2006/relationships/hyperlink" Target="https://github.com/NWOOD777/SIGET/blob/cb65f419e38a43e73a9d1b96d68d0bd041df5cb3/Fase%202/Evidencias%20Proyecto/Evidencias%20de%20sistema/Aplicaci%C3%B3n/API_DOCS.md" TargetMode="External"/><Relationship Id="rId21" Type="http://schemas.openxmlformats.org/officeDocument/2006/relationships/hyperlink" Target="https://github.com/NWOOD777/SIGET/blob/cb65f419e38a43e73a9d1b96d68d0bd041df5cb3/Fase%202/Evidencias%20Proyecto/Evidencias%20de%20sistema/Aplicaci%C3%B3n/README.md" TargetMode="External"/><Relationship Id="rId22" Type="http://schemas.openxmlformats.org/officeDocument/2006/relationships/hyperlink" Target="https://github.com/NWOOD777/SIGET/tree/cb65f419e38a43e73a9d1b96d68d0bd041df5cb3/Fase%202/Evidencias%20Proyecto/Evidencias%20de%20sistema/Aplicaci%C3%B3n/siget_web" TargetMode="External"/><Relationship Id="rId23" Type="http://schemas.openxmlformats.org/officeDocument/2006/relationships/hyperlink" Target="https://github.com/NWOOD777/SIGET/blob/cb65f419e38a43e73a9d1b96d68d0bd041df5cb3/Fase%202/Evidencias%20Proyecto/Evidencias%20de%20sistema/Aplicaci%C3%B3n/siget_web/asignaciones/tests/test_e3_h8_integracion_postgresql.py" TargetMode="External"/><Relationship Id="rId24" Type="http://schemas.openxmlformats.org/officeDocument/2006/relationships/hyperlink" Target="https://github.com/NWOOD777/SIGET/blob/cb65f419e38a43e73a9d1b96d68d0bd041df5cb3/Fase%202/Evidencias%20Proyecto/Evidencias%20de%20sistema/Aplicaci%C3%B3n/siget_web/asignaciones/tests/test_e4_h11_integracion_postgresql.py" TargetMode="External"/><Relationship Id="rId25" Type="http://schemas.openxmlformats.org/officeDocument/2006/relationships/hyperlink" Target="https://github.com/NWOOD777/SIGET/tree/cb65f419e38a43e73a9d1b96d68d0bd041df5cb3/Fase%202/Evidencias%20Proyecto/Evidencias%20de%20documentaci%C3%B3n/Scru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46CA5683-AF87-4E40-B841-2E23A3B52406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6F3661B0-5934-4FAB-ADC6-33A19B814E8D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D51C61E4-DB75-4684-AD25-71F546404E96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revision>6</cp:revision>
  <dcterms:created xsi:type="dcterms:W3CDTF">2022-08-24T18:14:00Z</dcterms:created>
  <dcterms:modified xsi:type="dcterms:W3CDTF">2026-10-16T20:42:21Z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