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BAE907" w14:textId="77777777">
      <w:pPr>
        <w:spacing/>
        <w:ind/>
        <w:rPr>
          <w:rFonts w:ascii="Arial" w:hAnsi="Arial" w:cs="Arial"/>
        </w:rPr>
      </w:pPr>
      <w:r>
        <w:rPr>
          <w:rFonts w:ascii="Arial" w:hAnsi="Arial" w:eastAsia="Arial" w:cs="Arial"/>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-313901</wp:posOffset>
                </wp:positionH>
                <wp:positionV relativeFrom="paragraph">
                  <wp:posOffset>38312</wp:posOffset>
                </wp:positionV>
                <wp:extent cx="6238875" cy="1562100"/>
                <wp:effectExtent l="0" t="0" r="0" b="0"/>
                <wp:wrapNone/>
                <wp:docPr id="2" name="Grupo 53"/>
                <wp:cNvGraphicFramePr/>
                <a:graphic xmlns:a="http://schemas.openxmlformats.org/drawingml/2006/main">
                  <a:graphicData uri="http://schemas.microsoft.com/office/word/2010/wordprocessingGroup">
                    <wpg:wgp>
                      <wpg:cNvGrpSpPr/>
                      <wpg:grpSpPr bwMode="auto">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pPr>
                                <w:spacing w:after="0" w:line="240" w:lineRule="auto"/>
                                <w:ind/>
                                <w:rPr>
                                  <w:b/>
                                  <w:color w:val="ff0000"/>
                                  <w:sz w:val="48"/>
                                  <w:szCs w:val="48"/>
                                </w:rPr>
                              </w:pPr>
                              <w:r>
                                <w:rPr>
                                  <w:b/>
                                  <w:color w:val="ff0000"/>
                                  <w:sz w:val="48"/>
                                  <w:szCs w:val="48"/>
                                </w:rPr>
                              </w:r>
                              <w:r>
                                <w:rPr>
                                  <w:b/>
                                  <w:color w:val="ff0000"/>
                                  <w:sz w:val="48"/>
                                  <w:szCs w:val="48"/>
                                </w:rPr>
                              </w:r>
                            </w:p>
                            <w:p w14:paraId="21115FFE" w14:textId="6E6C6F8D">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3.</w:t>
                              </w:r>
                              <w:r>
                                <w:rPr>
                                  <w:b/>
                                  <w:color w:val="1f3864" w:themeColor="accent1" w:themeShade="80"/>
                                  <w:sz w:val="48"/>
                                  <w:szCs w:val="48"/>
                                </w:rPr>
                                <w:t xml:space="preserve"> </w:t>
                              </w:r>
                              <w:r>
                                <w:rPr>
                                  <w:b/>
                                  <w:color w:val="1f3864" w:themeColor="accent1" w:themeShade="80"/>
                                  <w:sz w:val="48"/>
                                  <w:szCs w:val="48"/>
                                </w:rPr>
                                <w:t xml:space="preserve">Informe final</w:t>
                              </w:r>
                              <w:r>
                                <w:rPr>
                                  <w:b/>
                                  <w:color w:val="1f3864" w:themeColor="accent1" w:themeShade="80"/>
                                  <w:sz w:val="48"/>
                                  <w:szCs w:val="48"/>
                                </w:rPr>
                                <w:t xml:space="preserve">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CE9F203" w14:textId="10942EFB">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wps:txbx>
                        <wps:bodyPr rot="0" vert="horz" wrap="square" lIns="91440" tIns="45720" rIns="91440" bIns="45720" anchor="t" anchorCtr="0">
                          <a:noAutofit/>
                        </wps:bodyPr>
                      </wps:wsp>
                      <wps:wsp>
                        <wps:cNvPr id="56" name="Rectángulo 56"/>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0000" style="position:absolute;z-index:251659264;o:allowoverlap:true;o:allowincell:true;mso-position-horizontal-relative:margin;margin-left:-24.72pt;mso-position-horizontal:absolute;mso-position-vertical-relative:text;margin-top:3.02pt;mso-position-vertical:absolute;width:491.25pt;height:123.00pt;mso-width-percent:0;mso-width-relative:margin;mso-height-percent:0;mso-height-relative:margin;mso-wrap-distance-left:9.00pt;mso-wrap-distance-top:0.00pt;mso-wrap-distance-right:9.00pt;mso-wrap-distance-bottom:0.00pt;" coordorigin="0,0" coordsize="59912,15621">
                <v:shape id="shape 2" o:spid="_x0000_s2" o:spt="202" type="#_x0000_t202" style="position:absolute;left:10246;top:2994;width:49665;height:12626;v-text-anchor:top;visibility:visible;" filled="f" stroked="f" strokeweight="0.75pt">
                  <v:textbox inset="0,0,0,0">
                    <w:txbxContent>
                      <w:p w14:paraId="5D9E8BED" w14:textId="77777777">
                        <w:pPr>
                          <w:spacing w:after="0" w:line="240" w:lineRule="auto"/>
                          <w:ind/>
                          <w:rPr>
                            <w:b/>
                            <w:color w:val="ff0000"/>
                            <w:sz w:val="48"/>
                            <w:szCs w:val="48"/>
                          </w:rPr>
                        </w:pPr>
                        <w:r>
                          <w:rPr>
                            <w:b/>
                            <w:color w:val="ff0000"/>
                            <w:sz w:val="48"/>
                            <w:szCs w:val="48"/>
                          </w:rPr>
                        </w:r>
                        <w:r>
                          <w:rPr>
                            <w:b/>
                            <w:color w:val="ff0000"/>
                            <w:sz w:val="48"/>
                            <w:szCs w:val="48"/>
                          </w:rPr>
                        </w:r>
                      </w:p>
                      <w:p w14:paraId="21115FFE" w14:textId="6E6C6F8D">
                        <w:pP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3.</w:t>
                        </w:r>
                        <w:r>
                          <w:rPr>
                            <w:b/>
                            <w:color w:val="1f3864" w:themeColor="accent1" w:themeShade="80"/>
                            <w:sz w:val="48"/>
                            <w:szCs w:val="48"/>
                          </w:rPr>
                          <w:t xml:space="preserve"> </w:t>
                        </w:r>
                        <w:r>
                          <w:rPr>
                            <w:b/>
                            <w:color w:val="1f3864" w:themeColor="accent1" w:themeShade="80"/>
                            <w:sz w:val="48"/>
                            <w:szCs w:val="48"/>
                          </w:rPr>
                          <w:t xml:space="preserve">Informe final</w:t>
                        </w:r>
                        <w:r>
                          <w:rPr>
                            <w:b/>
                            <w:color w:val="1f3864" w:themeColor="accent1" w:themeShade="80"/>
                            <w:sz w:val="48"/>
                            <w:szCs w:val="48"/>
                          </w:rPr>
                          <w:t xml:space="preserve">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14:paraId="6CE9F203" w14:textId="10942EFB">
                        <w:pP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bookmarkStart w:id="0" w:name="_GoBack"/>
                        <w:r/>
                        <w:bookmarkEnd w:id="0"/>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rPr>
          <w:rFonts w:ascii="Arial" w:hAnsi="Arial" w:eastAsia="Arial" w:cs="Arial"/>
        </w:rPr>
      </w:r>
    </w:p>
    <w:p w14:paraId="5F8A6F48" w14:textId="77777777">
      <w:pPr>
        <w:spacing/>
        <w:ind/>
        <w:rPr>
          <w:rFonts w:ascii="Arial" w:hAnsi="Arial" w:cs="Arial"/>
        </w:rPr>
      </w:pPr>
      <w:r>
        <w:rPr>
          <w:rFonts w:ascii="Arial" w:hAnsi="Arial" w:eastAsia="Arial" w:cs="Arial"/>
        </w:rPr>
      </w:r>
      <w:r>
        <w:rPr>
          <w:rFonts w:ascii="Arial" w:hAnsi="Arial" w:eastAsia="Arial" w:cs="Arial"/>
        </w:rPr>
      </w:r>
    </w:p>
    <w:p w14:paraId="5CDC10C5" w14:textId="77777777">
      <w:pPr>
        <w:spacing/>
        <w:ind/>
        <w:rPr>
          <w:rFonts w:ascii="Arial" w:hAnsi="Arial" w:cs="Arial"/>
        </w:rPr>
      </w:pPr>
      <w:r>
        <w:rPr>
          <w:rFonts w:ascii="Arial" w:hAnsi="Arial" w:eastAsia="Arial" w:cs="Arial"/>
        </w:rPr>
      </w:r>
      <w:r>
        <w:rPr>
          <w:rFonts w:ascii="Arial" w:hAnsi="Arial" w:eastAsia="Arial" w:cs="Arial"/>
        </w:rPr>
      </w:r>
    </w:p>
    <w:p w14:paraId="017C39D3" w14:textId="77777777">
      <w:pPr>
        <w:spacing/>
        <w:ind/>
        <w:rPr>
          <w:rFonts w:ascii="Arial" w:hAnsi="Arial" w:cs="Arial"/>
        </w:rPr>
      </w:pPr>
      <w:r>
        <w:rPr>
          <w:rFonts w:ascii="Arial" w:hAnsi="Arial" w:eastAsia="Arial" w:cs="Arial"/>
        </w:rPr>
      </w:r>
      <w:r>
        <w:rPr>
          <w:rFonts w:ascii="Arial" w:hAnsi="Arial" w:eastAsia="Arial" w:cs="Arial"/>
        </w:rPr>
      </w:r>
    </w:p>
    <w:p w14:paraId="15C3087B" w14:textId="77777777">
      <w:pPr>
        <w:spacing/>
        <w:ind/>
        <w:rPr>
          <w:rFonts w:ascii="Arial" w:hAnsi="Arial" w:cs="Arial"/>
        </w:rPr>
      </w:pPr>
      <w:r>
        <w:rPr>
          <w:rFonts w:ascii="Arial" w:hAnsi="Arial" w:eastAsia="Arial" w:cs="Arial"/>
        </w:rPr>
      </w:r>
      <w:r>
        <w:rPr>
          <w:rFonts w:ascii="Arial" w:hAnsi="Arial" w:eastAsia="Arial" w:cs="Arial"/>
        </w:rPr>
      </w:r>
    </w:p>
    <w:p w14:paraId="76290C55" w14:textId="77777777">
      <w:pPr>
        <w:spacing/>
        <w:ind/>
        <w:rPr>
          <w:rFonts w:ascii="Arial" w:hAnsi="Arial" w:cs="Arial"/>
          <w:b/>
          <w:color w:val="2f5496" w:themeColor="accent1" w:themeShade="BF"/>
          <w:sz w:val="26"/>
          <w:szCs w:val="26"/>
        </w:rPr>
      </w:pPr>
      <w:r>
        <w:rPr>
          <w:rFonts w:ascii="Arial" w:hAnsi="Arial" w:eastAsia="Arial" w:cs="Arial" w:eastAsiaTheme="majorEastAsia"/>
          <w:b/>
          <w:color w:val="2f5496" w:themeColor="accent1" w:themeShade="BF"/>
          <w:sz w:val="26"/>
          <w:szCs w:val="26"/>
        </w:rPr>
      </w:r>
      <w:r>
        <w:rPr>
          <w:rFonts w:ascii="Arial" w:hAnsi="Arial" w:eastAsia="Arial" w:cs="Arial" w:eastAsiaTheme="majorEastAsia"/>
          <w:b/>
          <w:color w:val="2f5496" w:themeColor="accent1" w:themeShade="BF"/>
          <w:sz w:val="26"/>
          <w:szCs w:val="26"/>
        </w:rPr>
      </w:r>
    </w:p>
    <w:p w14:paraId="1FCB0052" w14:textId="77777777">
      <w:pPr>
        <w:spacing/>
        <w:ind/>
        <w:rPr>
          <w:rFonts w:ascii="Arial" w:hAnsi="Arial" w:cs="Arial"/>
          <w:b/>
          <w:color w:val="2f5496" w:themeColor="accent1" w:themeShade="BF"/>
          <w:sz w:val="26"/>
          <w:szCs w:val="26"/>
        </w:rPr>
      </w:pPr>
      <w:r>
        <w:rPr>
          <w:rFonts w:ascii="Arial" w:hAnsi="Arial" w:eastAsia="Arial" w:cs="Arial" w:eastAsiaTheme="majorEastAsia"/>
          <w:b/>
          <w:color w:val="2f5496" w:themeColor="accent1" w:themeShade="BF"/>
          <w:sz w:val="26"/>
          <w:szCs w:val="26"/>
        </w:rPr>
      </w:r>
      <w:r>
        <w:rPr>
          <w:rFonts w:ascii="Arial" w:hAnsi="Arial" w:eastAsia="Arial" w:cs="Arial" w:eastAsiaTheme="majorEastAsia"/>
          <w:b/>
          <w:color w:val="2f5496" w:themeColor="accent1" w:themeShade="BF"/>
          <w:sz w:val="26"/>
          <w:szCs w:val="26"/>
        </w:rPr>
      </w:r>
    </w:p>
    <w:tbl>
      <w:tblPr>
        <w:tblStyle w:val="772"/>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trPr/>
        <w:tc>
          <w:tcPr>
            <w:tcBorders/>
            <w:tcW w:w="9781" w:type="dxa"/>
            <w:vAlign w:val="center"/>
          </w:tcPr>
          <w:p w14:paraId="49D80728" w14:textId="0F1B70F0">
            <w:pPr>
              <w:keepNext w:val="true"/>
              <w:spacing/>
              <w:ind/>
              <w:rPr>
                <w:rFonts w:ascii="Arial" w:hAnsi="Arial" w:cs="Arial"/>
                <w:b/>
                <w:color w:val="1f3864" w:themeColor="accent1" w:themeShade="80"/>
                <w:sz w:val="28"/>
                <w:szCs w:val="28"/>
              </w:rPr>
            </w:pPr>
            <w:r>
              <w:rPr>
                <w:rFonts w:ascii="Arial" w:hAnsi="Arial" w:eastAsia="Arial" w:cs="Arial"/>
                <w:b/>
                <w:color w:val="1f3864" w:themeColor="accent1" w:themeShade="80"/>
                <w:sz w:val="28"/>
                <w:szCs w:val="28"/>
              </w:rPr>
              <w:t xml:space="preserve">1</w:t>
            </w:r>
            <w:r>
              <w:rPr>
                <w:rFonts w:ascii="Arial" w:hAnsi="Arial" w:eastAsia="Arial" w:cs="Arial"/>
                <w:b/>
                <w:color w:val="1f3864" w:themeColor="accent1" w:themeShade="80"/>
                <w:sz w:val="28"/>
                <w:szCs w:val="28"/>
              </w:rPr>
              <w:t xml:space="preserve">. </w:t>
            </w:r>
            <w:r>
              <w:rPr>
                <w:rFonts w:ascii="Arial" w:hAnsi="Arial" w:eastAsia="Arial" w:cs="Arial"/>
                <w:b/>
                <w:color w:val="1f3864" w:themeColor="accent1" w:themeShade="80"/>
                <w:sz w:val="28"/>
                <w:szCs w:val="28"/>
              </w:rPr>
              <w:t xml:space="preserve">Informe</w:t>
            </w:r>
            <w:r>
              <w:rPr>
                <w:rFonts w:ascii="Arial" w:hAnsi="Arial" w:eastAsia="Arial" w:cs="Arial"/>
                <w:b/>
                <w:color w:val="1f3864" w:themeColor="accent1" w:themeShade="80"/>
                <w:sz w:val="28"/>
                <w:szCs w:val="28"/>
              </w:rPr>
              <w:t xml:space="preserve"> final </w:t>
            </w:r>
            <w:r>
              <w:rPr>
                <w:rFonts w:ascii="Arial" w:hAnsi="Arial" w:eastAsia="Arial" w:cs="Arial"/>
                <w:b/>
                <w:color w:val="1f3864" w:themeColor="accent1" w:themeShade="80"/>
                <w:sz w:val="28"/>
                <w:szCs w:val="28"/>
              </w:rPr>
              <w:t xml:space="preserve">P</w:t>
            </w:r>
            <w:r>
              <w:rPr>
                <w:rFonts w:ascii="Arial" w:hAnsi="Arial" w:eastAsia="Arial" w:cs="Arial"/>
                <w:b/>
                <w:color w:val="1f3864" w:themeColor="accent1" w:themeShade="80"/>
                <w:sz w:val="28"/>
                <w:szCs w:val="28"/>
              </w:rPr>
              <w:t xml:space="preserve">royecto APT</w:t>
            </w:r>
            <w:r>
              <w:rPr>
                <w:rFonts w:ascii="Arial" w:hAnsi="Arial" w:eastAsia="Arial" w:cs="Arial"/>
                <w:b/>
                <w:color w:val="1f3864" w:themeColor="accent1" w:themeShade="80"/>
                <w:sz w:val="28"/>
                <w:szCs w:val="28"/>
              </w:rPr>
            </w:r>
          </w:p>
        </w:tc>
      </w:tr>
      <w:tr>
        <w:trPr/>
        <w:tc>
          <w:tcPr>
            <w:shd w:val="clear" w:color="auto" w:fill="d9e2f3" w:themeFill="accent1" w:themeFillTint="33"/>
            <w:tcBorders/>
            <w:tcW w:w="9781" w:type="dxa"/>
            <w:vAlign w:val="center"/>
          </w:tcPr>
          <w:p w14:paraId="27A7A8C5" w14:textId="77777777">
            <w:pPr>
              <w:pStyle w:val="773"/>
              <w:keepNext w:val="true"/>
              <w:spacing/>
              <w:ind/>
              <w:jc w:val="both"/>
              <w:rPr>
                <w:rFonts w:ascii="Arial" w:hAnsi="Arial" w:cs="Arial"/>
                <w:color w:val="1f3864" w:themeColor="accent1" w:themeShade="80"/>
              </w:rPr>
            </w:pPr>
            <w:r>
              <w:rPr>
                <w:rFonts w:ascii="Arial" w:hAnsi="Arial" w:eastAsia="Arial" w:cs="Arial"/>
                <w:color w:val="1f3864" w:themeColor="accent1" w:themeShade="80"/>
              </w:rPr>
            </w:r>
            <w:r>
              <w:rPr>
                <w:rFonts w:ascii="Arial" w:hAnsi="Arial" w:eastAsia="Arial" w:cs="Arial"/>
                <w:color w:val="1f3864" w:themeColor="accent1" w:themeShade="80"/>
              </w:rPr>
            </w:r>
          </w:p>
          <w:p w14:paraId="66025BDD" w14:textId="5E882AAD">
            <w:pPr>
              <w:pStyle w:val="773"/>
              <w:keepNext w:val="true"/>
              <w:spacing/>
              <w:ind/>
              <w:jc w:val="both"/>
              <w:rPr>
                <w:rFonts w:ascii="Arial" w:hAnsi="Arial" w:cs="Arial"/>
                <w:color w:val="1f3864" w:themeColor="accent1" w:themeShade="80"/>
              </w:rPr>
            </w:pPr>
            <w:r>
              <w:rPr>
                <w:rFonts w:ascii="Arial" w:hAnsi="Arial" w:eastAsia="Arial" w:cs="Arial"/>
                <w:color w:val="1f3864" w:themeColor="accent1" w:themeShade="80"/>
              </w:rPr>
              <w:t xml:space="preserve">El objetivo de est</w:t>
            </w:r>
            <w:r>
              <w:rPr>
                <w:rFonts w:ascii="Arial" w:hAnsi="Arial" w:eastAsia="Arial" w:cs="Arial"/>
                <w:color w:val="1f3864" w:themeColor="accent1" w:themeShade="80"/>
              </w:rPr>
              <w:t xml:space="preserve">e</w:t>
            </w:r>
            <w:r>
              <w:rPr>
                <w:rFonts w:ascii="Arial" w:hAnsi="Arial" w:eastAsia="Arial" w:cs="Arial"/>
                <w:color w:val="1f3864" w:themeColor="accent1" w:themeShade="80"/>
              </w:rPr>
              <w:t xml:space="preserve"> </w:t>
            </w:r>
            <w:r>
              <w:rPr>
                <w:rFonts w:ascii="Arial" w:hAnsi="Arial" w:eastAsia="Arial" w:cs="Arial"/>
                <w:color w:val="1f3864" w:themeColor="accent1" w:themeShade="80"/>
              </w:rPr>
              <w:t xml:space="preserve">informe</w:t>
            </w:r>
            <w:r>
              <w:rPr>
                <w:rFonts w:ascii="Arial" w:hAnsi="Arial" w:eastAsia="Arial" w:cs="Arial"/>
                <w:color w:val="1f3864" w:themeColor="accent1" w:themeShade="80"/>
              </w:rPr>
              <w:t xml:space="preserve"> es que describas los aspectos más relevantes de tu </w:t>
            </w:r>
            <w:r>
              <w:rPr>
                <w:rFonts w:ascii="Arial" w:hAnsi="Arial" w:eastAsia="Arial" w:cs="Arial"/>
                <w:color w:val="1f3864" w:themeColor="accent1" w:themeShade="80"/>
              </w:rPr>
              <w:t xml:space="preserve">Proyecto APT. Es importante que</w:t>
            </w:r>
            <w:r>
              <w:rPr>
                <w:rFonts w:ascii="Arial" w:hAnsi="Arial" w:eastAsia="Arial" w:cs="Arial"/>
                <w:color w:val="1f3864" w:themeColor="accent1" w:themeShade="80"/>
              </w:rPr>
              <w:t xml:space="preserve"> fundament</w:t>
            </w:r>
            <w:r>
              <w:rPr>
                <w:rFonts w:ascii="Arial" w:hAnsi="Arial" w:eastAsia="Arial" w:cs="Arial"/>
                <w:color w:val="1f3864" w:themeColor="accent1" w:themeShade="80"/>
              </w:rPr>
              <w:t xml:space="preserve">es las</w:t>
            </w:r>
            <w:r>
              <w:rPr>
                <w:rFonts w:ascii="Arial" w:hAnsi="Arial" w:eastAsia="Arial" w:cs="Arial"/>
                <w:color w:val="1f3864" w:themeColor="accent1" w:themeShade="80"/>
              </w:rPr>
              <w:t xml:space="preserve"> decisiones que tuviste que tomar a lo largo del proceso. </w:t>
            </w:r>
            <w:r>
              <w:rPr>
                <w:rFonts w:ascii="Arial" w:hAnsi="Arial" w:eastAsia="Arial" w:cs="Arial"/>
                <w:color w:val="1f3864" w:themeColor="accent1" w:themeShade="80"/>
              </w:rPr>
            </w:r>
          </w:p>
          <w:p w14:paraId="473140E5" w14:textId="77777777">
            <w:pPr>
              <w:pStyle w:val="773"/>
              <w:keepNext w:val="true"/>
              <w:spacing/>
              <w:ind/>
              <w:jc w:val="both"/>
              <w:rPr>
                <w:rFonts w:ascii="Arial" w:hAnsi="Arial" w:cs="Arial"/>
                <w:color w:val="1f3864" w:themeColor="accent1" w:themeShade="80"/>
              </w:rPr>
            </w:pPr>
            <w:r>
              <w:rPr>
                <w:rFonts w:ascii="Arial" w:hAnsi="Arial" w:eastAsia="Arial" w:cs="Arial"/>
                <w:color w:val="1f3864" w:themeColor="accent1" w:themeShade="80"/>
              </w:rPr>
            </w:r>
            <w:r>
              <w:rPr>
                <w:rFonts w:ascii="Arial" w:hAnsi="Arial" w:eastAsia="Arial" w:cs="Arial"/>
                <w:color w:val="1f3864" w:themeColor="accent1" w:themeShade="80"/>
              </w:rPr>
            </w:r>
          </w:p>
          <w:p w14:paraId="442403C7" w14:textId="2861B388">
            <w:pPr>
              <w:pStyle w:val="773"/>
              <w:keepNext w:val="true"/>
              <w:spacing/>
              <w:ind/>
              <w:jc w:val="both"/>
              <w:rPr>
                <w:rFonts w:ascii="Arial" w:hAnsi="Arial" w:cs="Arial"/>
                <w:b/>
                <w:color w:val="1f3864" w:themeColor="accent1" w:themeShade="80"/>
              </w:rPr>
            </w:pPr>
            <w:r>
              <w:rPr>
                <w:rFonts w:ascii="Arial" w:hAnsi="Arial" w:eastAsia="Arial" w:cs="Arial"/>
                <w:color w:val="1f3864" w:themeColor="accent1" w:themeShade="80"/>
              </w:rPr>
              <w:t xml:space="preserve">A continuación, encontrarás distintos campos que deberás completar</w:t>
            </w:r>
            <w:r>
              <w:rPr>
                <w:rFonts w:ascii="Arial" w:hAnsi="Arial" w:eastAsia="Arial" w:cs="Arial"/>
                <w:color w:val="1f3864" w:themeColor="accent1" w:themeShade="80"/>
              </w:rPr>
              <w:t xml:space="preserve"> con la información solicitada, los</w:t>
            </w:r>
            <w:r>
              <w:rPr>
                <w:rFonts w:ascii="Arial" w:hAnsi="Arial" w:eastAsia="Arial" w:cs="Arial"/>
                <w:color w:val="1f3864" w:themeColor="accent1" w:themeShade="80"/>
              </w:rPr>
              <w:t xml:space="preserve"> que </w:t>
            </w:r>
            <w:r>
              <w:rPr>
                <w:rFonts w:ascii="Arial" w:hAnsi="Arial" w:eastAsia="Arial" w:cs="Arial"/>
                <w:color w:val="1f3864" w:themeColor="accent1" w:themeShade="80"/>
              </w:rPr>
              <w:t xml:space="preserve">dan</w:t>
            </w:r>
            <w:r>
              <w:rPr>
                <w:rFonts w:ascii="Arial" w:hAnsi="Arial" w:eastAsia="Arial" w:cs="Arial"/>
                <w:color w:val="1f3864" w:themeColor="accent1" w:themeShade="80"/>
              </w:rPr>
              <w:t xml:space="preserve"> cuenta del resumen de tu proyecto APT y sus principales resultados.</w:t>
            </w:r>
            <w:r>
              <w:rPr>
                <w:rFonts w:ascii="Arial" w:hAnsi="Arial" w:eastAsia="Arial" w:cs="Arial"/>
                <w:b/>
                <w:color w:val="1f3864" w:themeColor="accent1" w:themeShade="80"/>
              </w:rPr>
            </w:r>
          </w:p>
        </w:tc>
      </w:tr>
    </w:tbl>
    <w:p w14:paraId="24A0099E" w14:textId="432D3233">
      <w:pPr>
        <w:keepNext w:val="true"/>
        <w:spacing w:after="0" w:before="0" w:line="80" w:lineRule="exact"/>
        <w:ind/>
        <w:rPr>
          <w:rFonts w:ascii="Arial" w:hAnsi="Arial" w:cs="Arial"/>
        </w:rPr>
      </w:pPr>
      <w:r>
        <w:rPr>
          <w:rFonts w:ascii="Arial" w:hAnsi="Arial" w:eastAsia="Arial" w:cs="Arial"/>
          <w:color w:val="000000"/>
          <w:sz w:val="8"/>
          <w:szCs w:val="8"/>
        </w:rPr>
      </w:r>
      <w:r>
        <w:rPr>
          <w:rFonts w:ascii="Arial" w:hAnsi="Arial" w:eastAsia="Arial" w:cs="Arial"/>
        </w:rPr>
      </w:r>
    </w:p>
    <w:tbl>
      <w:tblPr>
        <w:tblStyle w:val="772"/>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trPr/>
        <w:tc>
          <w:tcPr>
            <w:tcBorders/>
            <w:tcW w:w="3159" w:type="dxa"/>
            <w:vAlign w:val="center"/>
          </w:tcPr>
          <w:p w14:paraId="647676E6" w14:textId="77777777">
            <w:pPr>
              <w:spacing/>
              <w:ind/>
              <w:rPr>
                <w:rFonts w:ascii="Arial" w:hAnsi="Arial" w:cs="Arial"/>
                <w:color w:val="1f3864" w:themeColor="accent1" w:themeShade="80"/>
              </w:rPr>
            </w:pPr>
            <w:r>
              <w:rPr>
                <w:rFonts w:ascii="Arial" w:hAnsi="Arial" w:eastAsia="Arial" w:cs="Arial"/>
                <w:color w:val="1f3864" w:themeColor="accent1" w:themeShade="80"/>
              </w:rPr>
              <w:t xml:space="preserve">Nombre del proyecto</w:t>
            </w:r>
            <w:r>
              <w:rPr>
                <w:rFonts w:ascii="Arial" w:hAnsi="Arial" w:eastAsia="Arial" w:cs="Arial"/>
                <w:color w:val="1f3864" w:themeColor="accent1" w:themeShade="80"/>
              </w:rPr>
            </w:r>
          </w:p>
        </w:tc>
        <w:tc>
          <w:tcPr>
            <w:tcBorders/>
            <w:tcMar>
              <w:top w:w="65" w:type="dxa"/>
              <w:bottom w:w="65" w:type="dxa"/>
            </w:tcMar>
            <w:tcW w:w="6622" w:type="dxa"/>
            <w:vAlign w:val="top"/>
          </w:tcPr>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SIGET — Sistema Integral de Gestión de Equipos y Soporte Tecnológico</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color w:val="000000"/>
                <w:sz w:val="20"/>
                <w:szCs w:val="20"/>
              </w:rPr>
            </w:pPr>
            <w:r>
              <w:rPr>
                <w:rFonts w:ascii="Arial" w:hAnsi="Arial" w:eastAsia="Arial" w:cs="Arial"/>
                <w:color w:val="000000"/>
                <w:sz w:val="20"/>
                <w:szCs w:val="20"/>
              </w:rPr>
              <w:t xml:space="preserve">Grupo 7 · Sección 704D</w:t>
            </w:r>
            <w:r>
              <w:rPr>
                <w:rFonts w:ascii="Arial" w:hAnsi="Arial" w:eastAsia="Arial" w:cs="Arial"/>
              </w:rPr>
            </w:r>
          </w:p>
          <w:p w14:paraId="4EAA0F82">
            <w:pPr>
              <w:keepNext w:val="false"/>
              <w:keepLines w:val="true"/>
              <w:widowControl w:val="true"/>
              <w:spacing w:after="100" w:before="0" w:line="259" w:lineRule="auto"/>
              <w:ind w:right="0" w:firstLine="0" w:left="0"/>
              <w:jc w:val="left"/>
              <w:rPr>
                <w:rFonts w:ascii="Arial" w:hAnsi="Arial" w:cs="Arial"/>
                <w:color w:val="000000"/>
                <w:sz w:val="20"/>
                <w:szCs w:val="20"/>
              </w:rPr>
            </w:pPr>
            <w:r>
              <w:rPr>
                <w:rFonts w:ascii="Arial" w:hAnsi="Arial" w:eastAsia="Arial" w:cs="Arial"/>
                <w:color w:val="000000"/>
                <w:sz w:val="20"/>
                <w:szCs w:val="20"/>
              </w:rPr>
              <w:t xml:space="preserve">Corte de información: 16 de octubre de 2026. </w:t>
            </w:r>
            <w:r>
              <w:rPr>
                <w:rFonts w:ascii="Arial" w:hAnsi="Arial" w:eastAsia="Arial" w:cs="Arial"/>
              </w:rPr>
            </w:r>
          </w:p>
          <w:p w14:paraId="25CACE91">
            <w:pPr>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Equipo: Joaquín Riquelme, Diego Alcaino e Ignacio Troncoso.</w:t>
            </w:r>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Versión de trabajo del informe final de Fase 2. Presenta los resultados comprobados a este corte y los compromisos aún pendientes; no corresponde al cierre del producto completo.</w:t>
            </w:r>
            <w:r>
              <w:rPr>
                <w:rFonts w:ascii="Arial" w:hAnsi="Arial" w:eastAsia="Arial" w:cs="Arial"/>
              </w:rPr>
            </w:r>
          </w:p>
        </w:tc>
      </w:tr>
      <w:tr>
        <w:trPr/>
        <w:tc>
          <w:tcPr>
            <w:tcBorders/>
            <w:tcW w:w="3159" w:type="dxa"/>
            <w:vAlign w:val="center"/>
          </w:tcPr>
          <w:p w14:paraId="78D87DFF" w14:textId="77777777">
            <w:pPr>
              <w:spacing/>
              <w:ind/>
              <w:rPr>
                <w:rFonts w:ascii="Arial" w:hAnsi="Arial" w:cs="Arial"/>
                <w:color w:val="1f3864" w:themeColor="accent1" w:themeShade="80"/>
              </w:rPr>
            </w:pPr>
            <w:r>
              <w:rPr>
                <w:rFonts w:ascii="Arial" w:hAnsi="Arial" w:eastAsia="Arial" w:cs="Arial"/>
                <w:color w:val="1f3864" w:themeColor="accent1" w:themeShade="80"/>
              </w:rPr>
              <w:t xml:space="preserve">Área (s) de desempeño(s)</w:t>
            </w:r>
            <w:r>
              <w:rPr>
                <w:rFonts w:ascii="Arial" w:hAnsi="Arial" w:eastAsia="Arial" w:cs="Arial"/>
                <w:color w:val="1f3864" w:themeColor="accent1" w:themeShade="80"/>
              </w:rPr>
            </w:r>
          </w:p>
        </w:tc>
        <w:tc>
          <w:tcPr>
            <w:tcBorders/>
            <w:tcMar>
              <w:top w:w="65" w:type="dxa"/>
              <w:bottom w:w="65" w:type="dxa"/>
            </w:tcMar>
            <w:tcW w:w="6622" w:type="dxa"/>
            <w:vAlign w:val="top"/>
          </w:tcPr>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Desarrollo de software; bases de datos; análisis y gestión de procesos; arquitectura y seguridad informática; pruebas y aseguramiento de la calidad. Son las áreas declaradas en la Guía 1.5.</w:t>
            </w:r>
            <w:r>
              <w:rPr>
                <w:rFonts w:ascii="Arial" w:hAnsi="Arial" w:eastAsia="Arial" w:cs="Arial"/>
              </w:rPr>
            </w:r>
          </w:p>
        </w:tc>
      </w:tr>
      <w:tr>
        <w:trPr/>
        <w:tc>
          <w:tcPr>
            <w:tcBorders/>
            <w:tcW w:w="3159" w:type="dxa"/>
            <w:vAlign w:val="center"/>
          </w:tcPr>
          <w:p w14:paraId="2B4823B0" w14:textId="77777777">
            <w:pPr>
              <w:spacing/>
              <w:ind/>
              <w:rPr>
                <w:rFonts w:ascii="Arial" w:hAnsi="Arial" w:cs="Arial"/>
                <w:color w:val="1f3864" w:themeColor="accent1" w:themeShade="80"/>
              </w:rPr>
            </w:pPr>
            <w:r>
              <w:rPr>
                <w:rFonts w:ascii="Arial" w:hAnsi="Arial" w:eastAsia="Arial" w:cs="Arial"/>
                <w:color w:val="1f3864" w:themeColor="accent1" w:themeShade="80"/>
              </w:rPr>
              <w:t xml:space="preserve">Competencias </w:t>
            </w:r>
            <w:r>
              <w:rPr>
                <w:rFonts w:ascii="Arial" w:hAnsi="Arial" w:eastAsia="Arial" w:cs="Arial"/>
                <w:color w:val="1f3864" w:themeColor="accent1" w:themeShade="80"/>
              </w:rPr>
            </w:r>
          </w:p>
          <w:p w14:paraId="098DE3BE" w14:textId="77777777">
            <w:pPr>
              <w:spacing/>
              <w:ind/>
              <w:rPr>
                <w:rFonts w:ascii="Arial" w:hAnsi="Arial" w:cs="Arial"/>
                <w:color w:val="1f3864" w:themeColor="accent1" w:themeShade="80"/>
              </w:rPr>
            </w:pPr>
            <w:r>
              <w:rPr>
                <w:rFonts w:ascii="Arial" w:hAnsi="Arial" w:eastAsia="Arial" w:cs="Arial"/>
                <w:color w:val="1f3864" w:themeColor="accent1" w:themeShade="80"/>
              </w:rPr>
            </w:r>
            <w:r>
              <w:rPr>
                <w:rFonts w:ascii="Arial" w:hAnsi="Arial" w:eastAsia="Arial" w:cs="Arial"/>
                <w:color w:val="1f3864" w:themeColor="accent1" w:themeShade="80"/>
              </w:rPr>
            </w:r>
          </w:p>
        </w:tc>
        <w:tc>
          <w:tcPr>
            <w:tcBorders/>
            <w:tcMar>
              <w:top w:w="65" w:type="dxa"/>
              <w:bottom w:w="65" w:type="dxa"/>
            </w:tcMar>
            <w:tcW w:w="6622" w:type="dxa"/>
            <w:vAlign w:val="top"/>
          </w:tcPr>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Desarrollar una solución de software utilizando técnicas que permitan sistematizar el proceso de desarrollo y mantenimiento, asegurando el logro de los objetivos.</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Construir modelos de datos para soportar los requerimientos de la organización de acuerdo a un diseño definido y escalable en el tiempo.</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Construir el modelo arquitectónico de una solución sistémica que soporte los procesos de negocio de acuerdo los requerimientos de la organización y estándares de la industria.</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Implementar soluciones sistémicas integrales para automatizar y optimizar procesos de negocio de acuerdo a las necesidades de la organización.</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Resolver las vulnerabilidades sistémicas para asegurar que el software construido cumple las normas de seguridad exigidas por la industria.</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Como aplicación complementaria, el proyecto incorpora gestión de pruebas, documentación técnica y coordinación del trabajo del equipo.</w:t>
            </w:r>
            <w:r>
              <w:rPr>
                <w:rFonts w:ascii="Arial" w:hAnsi="Arial" w:eastAsia="Arial" w:cs="Arial"/>
              </w:rPr>
            </w:r>
          </w:p>
        </w:tc>
      </w:tr>
    </w:tbl>
    <w:p w14:paraId="00010BC5" w14:textId="77777777">
      <w:pPr>
        <w:keepNext w:val="true"/>
        <w:spacing w:after="0" w:before="0" w:line="80" w:lineRule="exact"/>
        <w:ind/>
        <w:rPr>
          <w:rFonts w:ascii="Arial" w:hAnsi="Arial" w:cs="Arial"/>
        </w:rPr>
      </w:pPr>
      <w:r>
        <w:rPr>
          <w:rFonts w:ascii="Arial" w:hAnsi="Arial" w:eastAsia="Arial" w:cs="Arial"/>
          <w:color w:val="000000"/>
          <w:sz w:val="8"/>
          <w:szCs w:val="8"/>
        </w:rPr>
      </w:r>
      <w:r>
        <w:rPr>
          <w:rFonts w:ascii="Arial" w:hAnsi="Arial" w:eastAsia="Arial" w:cs="Arial"/>
        </w:rPr>
      </w:r>
    </w:p>
    <w:tbl>
      <w:tblPr>
        <w:tblStyle w:val="772"/>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trPr/>
        <w:tc>
          <w:tcPr>
            <w:gridSpan w:val="2"/>
            <w:shd w:val="clear" w:color="auto" w:fill="d9d9d9" w:themeFill="background1" w:themeFillShade="D9"/>
            <w:tcBorders/>
            <w:tcW w:w="9781" w:type="dxa"/>
            <w:vAlign w:val="center"/>
          </w:tcPr>
          <w:p w14:paraId="2A9DBAC8" w14:textId="13301F28">
            <w:pPr>
              <w:keepNext w:val="true"/>
              <w:spacing/>
              <w:ind/>
              <w:rPr>
                <w:rFonts w:ascii="Arial" w:hAnsi="Arial" w:cs="Arial"/>
                <w:b/>
              </w:rPr>
            </w:pPr>
            <w:r>
              <w:rPr>
                <w:rFonts w:ascii="Arial" w:hAnsi="Arial" w:eastAsia="Arial" w:cs="Arial"/>
                <w:b/>
                <w:color w:val="1f3864" w:themeColor="accent1" w:themeShade="80"/>
                <w:sz w:val="18"/>
              </w:rPr>
              <w:t xml:space="preserve">Contenidos de</w:t>
            </w:r>
            <w:r>
              <w:rPr>
                <w:rFonts w:ascii="Arial" w:hAnsi="Arial" w:eastAsia="Arial" w:cs="Arial"/>
                <w:b/>
                <w:color w:val="1f3864" w:themeColor="accent1" w:themeShade="80"/>
                <w:sz w:val="18"/>
              </w:rPr>
              <w:t xml:space="preserve">l informe f</w:t>
            </w:r>
            <w:r>
              <w:rPr>
                <w:rFonts w:ascii="Arial" w:hAnsi="Arial" w:eastAsia="Arial" w:cs="Arial"/>
                <w:b/>
                <w:color w:val="1f3864" w:themeColor="accent1" w:themeShade="80"/>
                <w:sz w:val="18"/>
              </w:rPr>
              <w:t xml:space="preserve">inal</w:t>
            </w:r>
            <w:r>
              <w:rPr>
                <w:rFonts w:ascii="Arial" w:hAnsi="Arial" w:eastAsia="Arial" w:cs="Arial"/>
                <w:b/>
              </w:rPr>
            </w:r>
          </w:p>
        </w:tc>
      </w:tr>
      <w:tr>
        <w:trPr/>
        <w:tc>
          <w:tcPr>
            <w:tcBorders/>
            <w:tcW w:w="3001" w:type="dxa"/>
            <w:vAlign w:val="center"/>
          </w:tcPr>
          <w:p w14:paraId="7FEF913E" w14:textId="03D250DF">
            <w:pPr>
              <w:spacing/>
              <w:ind/>
              <w:rPr>
                <w:rFonts w:ascii="Arial" w:hAnsi="Arial" w:cs="Arial"/>
                <w:color w:val="1f3864" w:themeColor="accent1" w:themeShade="80"/>
                <w:sz w:val="18"/>
              </w:rPr>
            </w:pPr>
            <w:r>
              <w:rPr>
                <w:rFonts w:ascii="Arial" w:hAnsi="Arial" w:eastAsia="Arial" w:cs="Arial"/>
                <w:color w:val="1f3864" w:themeColor="accent1" w:themeShade="80"/>
                <w:sz w:val="18"/>
              </w:rPr>
              <w:t xml:space="preserve">1. </w:t>
            </w:r>
            <w:r>
              <w:rPr>
                <w:rFonts w:ascii="Arial" w:hAnsi="Arial" w:eastAsia="Arial" w:cs="Arial"/>
                <w:color w:val="1f3864" w:themeColor="accent1" w:themeShade="80"/>
                <w:sz w:val="18"/>
                <w:szCs w:val="18"/>
              </w:rPr>
              <w:t xml:space="preserve">Relevancia del proyecto APT</w:t>
            </w:r>
            <w:r>
              <w:rPr>
                <w:rFonts w:ascii="Arial" w:hAnsi="Arial" w:eastAsia="Arial" w:cs="Arial"/>
                <w:color w:val="1f3864" w:themeColor="accent1" w:themeShade="80"/>
                <w:sz w:val="18"/>
              </w:rPr>
            </w:r>
          </w:p>
        </w:tc>
        <w:tc>
          <w:tcPr>
            <w:tcBorders/>
            <w:tcMar>
              <w:top w:w="65" w:type="dxa"/>
              <w:bottom w:w="65" w:type="dxa"/>
            </w:tcMar>
            <w:tcW w:w="6780" w:type="dxa"/>
            <w:vAlign w:val="top"/>
          </w:tcPr>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SIGET aborda la dispersión de registros de equipos, asignaciones y solicitudes de soporte TI. Cuando el inventario y</w:t>
            </w:r>
            <w:r>
              <w:rPr>
                <w:rFonts w:ascii="Arial" w:hAnsi="Arial" w:eastAsia="Arial" w:cs="Arial"/>
                <w:color w:val="000000"/>
                <w:sz w:val="20"/>
                <w:szCs w:val="20"/>
              </w:rPr>
              <w:t xml:space="preserve"> la atención técnica se administran por separado, resulta difícil conocer quién utiliza un equipo, si puede asignarse y qué fallas o intervenciones ha presentado. El proyecto busca reunir estos antecedentes y controlar sus transiciones en un mismo sistema.</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color w:val="000000"/>
                <w:sz w:val="20"/>
                <w:szCs w:val="20"/>
              </w:rPr>
            </w:pPr>
            <w:r>
              <w:rPr>
                <w:rFonts w:ascii="Arial" w:hAnsi="Arial" w:eastAsia="Arial" w:cs="Arial"/>
                <w:color w:val="000000"/>
                <w:sz w:val="20"/>
                <w:szCs w:val="20"/>
              </w:rPr>
              <w:t xml:space="preserve">El caso se sitúa en Chile, en una organización cliente simulada de tamaño mediano o </w:t>
            </w:r>
            <w:r>
              <w:rPr>
                <w:rFonts w:ascii="Arial" w:hAnsi="Arial" w:eastAsia="Arial" w:cs="Arial"/>
                <w:color w:val="000000"/>
                <w:sz w:val="20"/>
                <w:szCs w:val="20"/>
              </w:rPr>
              <w:t xml:space="preserve">grande, con dependencias que utilizan equipamiento tecnológico. </w:t>
            </w:r>
            <w:r>
              <w:rPr>
                <w:rFonts w:ascii="Arial" w:hAnsi="Arial" w:eastAsia="Arial" w:cs="Arial"/>
              </w:rPr>
            </w:r>
          </w:p>
          <w:p w14:paraId="35E391BD">
            <w:pPr>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El </w:t>
            </w:r>
            <w:r>
              <w:rPr>
                <w:rFonts w:ascii="Arial" w:hAnsi="Arial" w:eastAsia="Arial" w:cs="Arial"/>
                <w:color w:val="000000"/>
                <w:sz w:val="20"/>
                <w:szCs w:val="20"/>
                <w:lang w:val="es-ES"/>
              </w:rPr>
              <w:t xml:space="preserve">equipo</w:t>
            </w:r>
            <w:r>
              <w:rPr>
                <w:rFonts w:ascii="Arial" w:hAnsi="Arial" w:eastAsia="Arial" w:cs="Arial"/>
                <w:color w:val="000000"/>
                <w:sz w:val="20"/>
                <w:szCs w:val="20"/>
              </w:rPr>
              <w:t xml:space="preserve"> actúa como proveedor externo de desarrollo. La solución se orienta a Usuarios solicitantes, Técnicos de soporte y Administradores del sistema, con funciones distintas para cada rol.</w:t>
            </w:r>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El aporte disponible se observa en el ciclo de asignación: una solicitud aprobada no reserva un equipo; al entregar se comprueba su disponibilidad y compatibilidad; al devo</w:t>
            </w:r>
            <w:r>
              <w:rPr>
                <w:rFonts w:ascii="Arial" w:hAnsi="Arial" w:eastAsia="Arial" w:cs="Arial"/>
                <w:color w:val="000000"/>
                <w:sz w:val="20"/>
                <w:szCs w:val="20"/>
              </w:rPr>
              <w:t xml:space="preserve">lver se registra su condición. Si presenta fallas, el activo pasa a En revisión y queda relacionado con un ticket, evitando que vuelva a asignarse como disponible. Este vínculo entre inventario y soporte constituye el principal valor del incremento actual.</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Para la profesión, el proyecto permite r</w:t>
            </w:r>
            <w:r>
              <w:rPr>
                <w:rFonts w:ascii="Arial" w:hAnsi="Arial" w:eastAsia="Arial" w:cs="Arial"/>
                <w:color w:val="000000"/>
                <w:sz w:val="20"/>
                <w:szCs w:val="20"/>
              </w:rPr>
              <w:t xml:space="preserve">esolver un proceso de negocio mediante arquitectura, datos, integración y controles de seguridad. La reducción de tiempos de atención y pérdidas de activos sigue siendo un beneficio esperado. No se han medido esos efectos en una organización en producción.</w:t>
            </w:r>
            <w:r>
              <w:rPr>
                <w:rFonts w:ascii="Arial" w:hAnsi="Arial" w:eastAsia="Arial" w:cs="Arial"/>
              </w:rPr>
            </w:r>
          </w:p>
        </w:tc>
      </w:tr>
      <w:tr>
        <w:trPr/>
        <w:tc>
          <w:tcPr>
            <w:tcBorders/>
            <w:tcW w:w="3001" w:type="dxa"/>
            <w:vAlign w:val="center"/>
          </w:tcPr>
          <w:p w14:paraId="4D8E3090" w14:textId="368322B4">
            <w:pPr>
              <w:spacing/>
              <w:ind/>
              <w:rPr>
                <w:rFonts w:ascii="Arial" w:hAnsi="Arial" w:cs="Arial"/>
                <w:color w:val="1f3864" w:themeColor="accent1" w:themeShade="80"/>
                <w:sz w:val="18"/>
              </w:rPr>
            </w:pPr>
            <w:r>
              <w:rPr>
                <w:rFonts w:ascii="Arial" w:hAnsi="Arial" w:eastAsia="Arial" w:cs="Arial"/>
                <w:color w:val="1f3864" w:themeColor="accent1" w:themeShade="80"/>
                <w:sz w:val="18"/>
              </w:rPr>
              <w:t xml:space="preserve">2. Objetivos </w:t>
            </w:r>
            <w:r>
              <w:rPr>
                <w:rFonts w:ascii="Arial" w:hAnsi="Arial" w:eastAsia="Arial" w:cs="Arial"/>
                <w:color w:val="1f3864" w:themeColor="accent1" w:themeShade="80"/>
                <w:sz w:val="18"/>
              </w:rPr>
            </w:r>
          </w:p>
        </w:tc>
        <w:tc>
          <w:tcPr>
            <w:tcBorders/>
            <w:tcMar>
              <w:top w:w="65" w:type="dxa"/>
              <w:bottom w:w="65" w:type="dxa"/>
            </w:tcMar>
            <w:tcW w:w="6780" w:type="dxa"/>
            <w:vAlign w:val="top"/>
          </w:tcPr>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Objetivo general</w:t>
            </w:r>
            <w:r>
              <w:rPr>
                <w:rFonts w:ascii="Arial" w:hAnsi="Arial" w:eastAsia="Arial" w:cs="Arial"/>
                <w:color w:val="000000"/>
                <w:sz w:val="20"/>
                <w:szCs w:val="20"/>
              </w:rPr>
              <w:br/>
              <w:t xml:space="preserve">Desarrollar e implementar la solución informática integral SIGET mediante una arquitectura cliente-servidor dual (plataforma Web y aplicación de Escritorio), co</w:t>
            </w:r>
            <w:r>
              <w:rPr>
                <w:rFonts w:ascii="Arial" w:hAnsi="Arial" w:eastAsia="Arial" w:cs="Arial"/>
                <w:color w:val="000000"/>
                <w:sz w:val="20"/>
                <w:szCs w:val="20"/>
              </w:rPr>
              <w:t xml:space="preserve">n el fin de centralizar la administración de activos TI, automatizar el control y trazabilidad de asignaciones, y gestionar solicitudes de soporte técnico y órdenes de reparación de equipamiento bajo un modelo de Service Desk para una organización cliente.</w:t>
            </w:r>
            <w:r>
              <w:rPr>
                <w:rFonts w:ascii="Arial" w:hAnsi="Arial" w:eastAsia="Arial" w:cs="Arial"/>
              </w:rPr>
            </w:r>
          </w:p>
          <w:p>
            <w:pPr>
              <w:pStyle w:val="766"/>
              <w:keepNext w:val="tru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Objetivos específicos y avance al corte</w:t>
            </w:r>
            <w:r>
              <w:rPr>
                <w:rFonts w:ascii="Arial" w:hAnsi="Arial" w:eastAsia="Arial" w:cs="Arial"/>
              </w:rPr>
            </w:r>
          </w:p>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1. Análisis, requerimientos y diseño arquitectónico</w:t>
            </w:r>
            <w:r>
              <w:rPr>
                <w:rFonts w:ascii="Arial" w:hAnsi="Arial" w:eastAsia="Arial" w:cs="Arial"/>
                <w:color w:val="000000"/>
                <w:sz w:val="20"/>
                <w:szCs w:val="20"/>
              </w:rPr>
              <w:br/>
              <w:t xml:space="preserve">Levantar y analizar los requerimientos funcionales, no funcionales y de seguridad d</w:t>
            </w:r>
            <w:r>
              <w:rPr>
                <w:rFonts w:ascii="Arial" w:hAnsi="Arial" w:eastAsia="Arial" w:cs="Arial"/>
                <w:color w:val="000000"/>
                <w:sz w:val="20"/>
                <w:szCs w:val="20"/>
              </w:rPr>
              <w:t xml:space="preserve">e los procesos de asignación de activos tecnológicos y de atención de soporte técnico (Service Desk), diseñando los diagramas de arquitectura, el modelado UML y los prototipos de interfaz de usuario especializados para ambas plataformas (Web y Escritorio).</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Avance: Documentos de requerimientos, historias, arquitectura y mockups disponibles; su actualización continúa con los incrementos.</w:t>
            </w:r>
            <w:r>
              <w:rPr>
                <w:rFonts w:ascii="Arial" w:hAnsi="Arial" w:eastAsia="Arial" w:cs="Arial"/>
              </w:rPr>
            </w:r>
          </w:p>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2. Modelamiento y persistencia de datos</w:t>
            </w:r>
            <w:r>
              <w:rPr>
                <w:rFonts w:ascii="Arial" w:hAnsi="Arial" w:eastAsia="Arial" w:cs="Arial"/>
                <w:color w:val="000000"/>
                <w:sz w:val="20"/>
                <w:szCs w:val="20"/>
              </w:rPr>
              <w:br/>
              <w:t xml:space="preserve">Diseñar y construir un modelo de base de datos relacional normalizado compuesto por al menos 30 t</w:t>
            </w:r>
            <w:r>
              <w:rPr>
                <w:rFonts w:ascii="Arial" w:hAnsi="Arial" w:eastAsia="Arial" w:cs="Arial"/>
                <w:color w:val="000000"/>
                <w:sz w:val="20"/>
                <w:szCs w:val="20"/>
              </w:rPr>
              <w:t xml:space="preserve">ablas en PostgreSQL, garantizando la consistencia, integridad referencial y escalabilidad para la administración de activos TI, solicitudes de asignación, tickets de soporte, órdenes de trabajo de reparación, catálogo de repuestos y bitácoras de auditoría.</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Avance: Modelo de 34 tablas, DDL y diccionario disponibles. La persistencia de los flujos implementados se verifica con PostgreSQL real.</w:t>
            </w:r>
            <w:r>
              <w:rPr>
                <w:rFonts w:ascii="Arial" w:hAnsi="Arial" w:eastAsia="Arial" w:cs="Arial"/>
              </w:rPr>
            </w:r>
          </w:p>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3. Desarrollo e integración de servicios</w:t>
            </w:r>
            <w:r>
              <w:rPr>
                <w:rFonts w:ascii="Arial" w:hAnsi="Arial" w:eastAsia="Arial" w:cs="Arial"/>
                <w:color w:val="000000"/>
                <w:sz w:val="20"/>
                <w:szCs w:val="20"/>
              </w:rPr>
              <w:br/>
              <w:t xml:space="preserve">Desarrollar 2 APIs RESTful propias, correspondientes a Gestión de Activos y Asignaciones y Service Desk y Taller/</w:t>
            </w:r>
            <w:r>
              <w:rPr>
                <w:rFonts w:ascii="Arial" w:hAnsi="Arial" w:eastAsia="Arial" w:cs="Arial"/>
                <w:color w:val="000000"/>
                <w:sz w:val="20"/>
                <w:szCs w:val="20"/>
              </w:rPr>
              <w:t xml:space="preserve">Reparaciones, e integrar 3 APIs externas correspondientes a correo transaccional, generación de códigos QR y autenticación externa de usuarios, garantizando la interoperabilidad entre la plataforma Web, la aplicación de Escritorio y los servicios externos.</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Avance: APIs de activos, ciclo inicial de asignaciones y tickets implementadas; integración Auth0 disponible. Faltan capacidades posteriores de taller, correo transaccional y generación QR.</w:t>
            </w:r>
            <w:r>
              <w:rPr>
                <w:rFonts w:ascii="Arial" w:hAnsi="Arial" w:eastAsia="Arial" w:cs="Arial"/>
              </w:rPr>
            </w:r>
          </w:p>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4. Construcción de módulos Web y Escritorio</w:t>
            </w:r>
            <w:r>
              <w:rPr>
                <w:rFonts w:ascii="Arial" w:hAnsi="Arial" w:eastAsia="Arial" w:cs="Arial"/>
                <w:color w:val="000000"/>
                <w:sz w:val="20"/>
                <w:szCs w:val="20"/>
              </w:rPr>
              <w:br/>
              <w:t xml:space="preserve">Construir los módulos frontend y backend de la plataforma Web de autoservicio, orientada a Usuarios solicitantes para consulta de activos, solicitudes de asignación, reporte de fallas y seguimiento de tickets, </w:t>
            </w:r>
            <w:r>
              <w:rPr>
                <w:rFonts w:ascii="Arial" w:hAnsi="Arial" w:eastAsia="Arial" w:cs="Arial"/>
                <w:color w:val="000000"/>
                <w:sz w:val="20"/>
                <w:szCs w:val="20"/>
              </w:rPr>
              <w:t xml:space="preserve">y la aplicación de Escritorio administrativa, orientada a Técnicos de soporte y Administradores del sistema para la gestión de tickets, órdenes de trabajo, diagnósticos, inventario, asignaciones, entregas y devoluciones, empleando Python, Django y PySide6.</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Avance: Backend y acceso Web disponibles. Faltan las pantallas conectadas de catálogo, solicitudes y tickets, y el cliente PySide6.</w:t>
            </w:r>
            <w:r>
              <w:rPr>
                <w:rFonts w:ascii="Arial" w:hAnsi="Arial" w:eastAsia="Arial" w:cs="Arial"/>
              </w:rPr>
            </w:r>
          </w:p>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5. Despliegue y contenedorización</w:t>
            </w:r>
            <w:r>
              <w:rPr>
                <w:rFonts w:ascii="Arial" w:hAnsi="Arial" w:eastAsia="Arial" w:cs="Arial"/>
                <w:color w:val="000000"/>
                <w:sz w:val="20"/>
                <w:szCs w:val="20"/>
              </w:rPr>
              <w:br/>
              <w:t xml:space="preserve">Configurar y orquestar los entornos de despliegue mediante contenedores Docker y Docker Compose, asegurando la portabilidad del sistema, el aislamiento de los servicios (backend y base de datos) y la administración segura de variables de entorno.</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Avance: Backend y PostgreSQL configurados y verificados localmente con Docker Compose; README y .env.example disponibles. El cliente de Escritorio aún no integra el despliegue final.</w:t>
            </w:r>
            <w:r>
              <w:rPr>
                <w:rFonts w:ascii="Arial" w:hAnsi="Arial" w:eastAsia="Arial" w:cs="Arial"/>
              </w:rPr>
            </w:r>
          </w:p>
          <w:p>
            <w:pPr>
              <w:pStyle w:val="766"/>
              <w:keepNext w:val="false"/>
              <w:keepLines w:val="true"/>
              <w:widowControl w:val="true"/>
              <w:spacing w:after="100" w:before="90" w:line="259" w:lineRule="auto"/>
              <w:ind w:right="0" w:firstLine="0" w:left="0"/>
              <w:jc w:val="left"/>
              <w:rPr>
                <w:rFonts w:ascii="Arial" w:hAnsi="Arial" w:cs="Arial"/>
              </w:rPr>
            </w:pPr>
            <w:r>
              <w:rPr>
                <w:rFonts w:ascii="Arial" w:hAnsi="Arial" w:eastAsia="Arial" w:cs="Arial"/>
                <w:b/>
                <w:color w:val="000000"/>
                <w:sz w:val="20"/>
                <w:szCs w:val="20"/>
              </w:rPr>
              <w:t xml:space="preserve">6. Aseguramiento de calidad y ciberseguridad</w:t>
            </w:r>
            <w:r>
              <w:rPr>
                <w:rFonts w:ascii="Arial" w:hAnsi="Arial" w:eastAsia="Arial" w:cs="Arial"/>
                <w:color w:val="000000"/>
                <w:sz w:val="20"/>
                <w:szCs w:val="20"/>
              </w:rPr>
              <w:br/>
              <w:t xml:space="preserve">Ejecutar un plan integral de prue</w:t>
            </w:r>
            <w:r>
              <w:rPr>
                <w:rFonts w:ascii="Arial" w:hAnsi="Arial" w:eastAsia="Arial" w:cs="Arial"/>
                <w:color w:val="000000"/>
                <w:sz w:val="20"/>
                <w:szCs w:val="20"/>
              </w:rPr>
              <w:t xml:space="preserve">bas que contemple pruebas unitarias, de integración, de rendimiento y auditorías de seguridad informática (mitigación de vulnerabilidades OWASP Top 10), certificando la robustez operativa y la estabilidad transaccional de la plataforma antes de su entrega.</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Avance: Última ejecución local disponible: 266 pruebas aprobadas, incluidas 68 con PostgreSQL real. Faltan rendimiento, seguridad integral, integración con Escritorio y consolidación de la matriz final de resultados.</w:t>
            </w:r>
            <w:r>
              <w:rPr>
                <w:rFonts w:ascii="Arial" w:hAnsi="Arial" w:eastAsia="Arial" w:cs="Arial"/>
              </w:rPr>
            </w:r>
          </w:p>
        </w:tc>
      </w:tr>
      <w:tr>
        <w:trPr/>
        <w:tc>
          <w:tcPr>
            <w:tcBorders/>
            <w:tcW w:w="3001" w:type="dxa"/>
            <w:vAlign w:val="center"/>
          </w:tcPr>
          <w:p w14:paraId="0053AC5B" w14:textId="77777777">
            <w:pPr>
              <w:spacing/>
              <w:ind/>
              <w:rPr>
                <w:rFonts w:ascii="Arial" w:hAnsi="Arial" w:cs="Arial"/>
                <w:color w:val="1f3864" w:themeColor="accent1" w:themeShade="80"/>
                <w:sz w:val="18"/>
              </w:rPr>
            </w:pPr>
            <w:r>
              <w:rPr>
                <w:rFonts w:ascii="Arial" w:hAnsi="Arial" w:eastAsia="Arial" w:cs="Arial"/>
                <w:color w:val="1f3864" w:themeColor="accent1" w:themeShade="80"/>
                <w:sz w:val="18"/>
              </w:rPr>
              <w:t xml:space="preserve">3. Metodología</w:t>
            </w:r>
            <w:r>
              <w:rPr>
                <w:rFonts w:ascii="Arial" w:hAnsi="Arial" w:eastAsia="Arial" w:cs="Arial"/>
                <w:color w:val="1f3864" w:themeColor="accent1" w:themeShade="80"/>
                <w:sz w:val="18"/>
              </w:rPr>
            </w:r>
          </w:p>
        </w:tc>
        <w:tc>
          <w:tcPr>
            <w:tcBorders/>
            <w:tcMar>
              <w:top w:w="65" w:type="dxa"/>
              <w:bottom w:w="65" w:type="dxa"/>
            </w:tcMar>
            <w:tcW w:w="6780" w:type="dxa"/>
            <w:vAlign w:val="top"/>
          </w:tcPr>
          <w:p>
            <w:pPr>
              <w:pStyle w:val="766"/>
              <w:keepNext w:val="false"/>
              <w:keepLines w:val="true"/>
              <w:widowControl w:val="true"/>
              <w:spacing w:after="100" w:before="0" w:line="259" w:lineRule="auto"/>
              <w:ind w:right="0" w:firstLine="0" w:left="0"/>
              <w:jc w:val="left"/>
              <w:rPr>
                <w:rFonts w:ascii="Arial" w:hAnsi="Arial" w:eastAsia="Arial" w:cs="Arial"/>
                <w:color w:val="000000"/>
                <w:sz w:val="20"/>
                <w:szCs w:val="20"/>
              </w:rPr>
            </w:pPr>
            <w:r>
              <w:rPr>
                <w:rFonts w:ascii="Arial" w:hAnsi="Arial" w:eastAsia="Arial" w:cs="Arial"/>
                <w:color w:val="000000"/>
                <w:sz w:val="20"/>
                <w:szCs w:val="20"/>
              </w:rPr>
              <w:t xml:space="preserve">Se utiliza Scrum para dividir el alcance en incrementos y revisar su avance según </w:t>
            </w:r>
            <w:r>
              <w:rPr>
                <w:rFonts w:ascii="Arial" w:hAnsi="Arial" w:eastAsia="Arial" w:cs="Arial"/>
                <w:color w:val="000000"/>
                <w:sz w:val="20"/>
                <w:szCs w:val="20"/>
              </w:rPr>
              <w:t xml:space="preserve">las prioridades del producto. Joaquín Riquelme cumple el rol de Product Owner, Diego Alcaino el de Scrum Master y los tres integrantes participan en desarrollo. La Guía 1.5, el Acta de Constitución y las historias de usuario establecen la base del trabajo.</w:t>
            </w:r>
            <w:r>
              <w:rPr>
                <w:rFonts w:ascii="Arial" w:hAnsi="Arial" w:eastAsia="Arial" w:cs="Arial"/>
                <w:color w:val="000000"/>
                <w:sz w:val="20"/>
                <w:szCs w:val="20"/>
              </w:rPr>
            </w:r>
            <w:r>
              <w:rPr>
                <w:rFonts w:ascii="Arial" w:hAnsi="Arial" w:eastAsia="Arial" w:cs="Arial"/>
                <w:color w:val="000000"/>
                <w:sz w:val="20"/>
                <w:szCs w:val="20"/>
              </w:rPr>
            </w:r>
          </w:p>
          <w:p w14:paraId="5548BCAF">
            <w:pPr>
              <w:keepNext w:val="false"/>
              <w:keepLines w:val="true"/>
              <w:widowControl w:val="true"/>
              <w:spacing w:after="100" w:before="0" w:line="259" w:lineRule="auto"/>
              <w:ind w:right="0" w:firstLine="0" w:left="0"/>
              <w:jc w:val="left"/>
              <w:rPr>
                <w:rFonts w:ascii="Arial" w:hAnsi="Arial" w:eastAsia="Arial" w:cs="Arial"/>
                <w:color w:val="000000"/>
                <w:sz w:val="20"/>
                <w:szCs w:val="20"/>
                <w:lang w:val="es-ES"/>
              </w:rPr>
            </w:pPr>
            <w:r>
              <w:rPr>
                <w:rFonts w:ascii="Arial" w:hAnsi="Arial" w:eastAsia="Arial" w:cs="Arial"/>
                <w:color w:val="000000"/>
                <w:sz w:val="20"/>
                <w:szCs w:val="20"/>
              </w:rPr>
              <w:t xml:space="preserve">Trello apoya la distribución y revisión de tareas.</w:t>
            </w:r>
            <w:r>
              <w:rPr>
                <w:rFonts w:ascii="Arial" w:hAnsi="Arial" w:eastAsia="Arial" w:cs="Arial"/>
                <w:color w:val="000000"/>
                <w:sz w:val="20"/>
                <w:szCs w:val="20"/>
                <w:lang w:val="es-ES"/>
              </w:rPr>
              <w:t xml:space="preserve"> </w:t>
            </w:r>
            <w:r>
              <w:rPr>
                <w:rFonts w:ascii="Arial" w:hAnsi="Arial" w:eastAsia="Arial" w:cs="Arial"/>
                <w:color w:val="000000"/>
                <w:sz w:val="20"/>
                <w:szCs w:val="20"/>
              </w:rPr>
            </w:r>
          </w:p>
          <w:p w14:paraId="4D12969E">
            <w:pPr>
              <w:keepNext w:val="false"/>
              <w:keepLines w:val="true"/>
              <w:widowControl w:val="true"/>
              <w:spacing w:after="100" w:before="0" w:line="259" w:lineRule="auto"/>
              <w:ind w:right="0" w:firstLine="0" w:left="0"/>
              <w:jc w:val="left"/>
              <w:rPr>
                <w:rFonts w:ascii="Arial" w:hAnsi="Arial" w:eastAsia="Arial" w:cs="Arial"/>
                <w:color w:val="000000"/>
                <w:sz w:val="20"/>
                <w:szCs w:val="20"/>
              </w:rPr>
            </w:pPr>
            <w:r>
              <w:rPr>
                <w:rFonts w:ascii="Arial" w:hAnsi="Arial" w:eastAsia="Arial" w:cs="Arial"/>
                <w:color w:val="000000"/>
                <w:sz w:val="20"/>
                <w:szCs w:val="20"/>
                <w:lang w:val="es-ES"/>
              </w:rPr>
            </w:r>
            <w:r>
              <w:rPr>
                <w:rFonts w:ascii="Arial" w:hAnsi="Arial" w:eastAsia="Arial" w:cs="Arial"/>
                <w:color w:val="000000"/>
                <w:sz w:val="20"/>
                <w:szCs w:val="20"/>
              </w:rPr>
              <w:t xml:space="preserve">Esta metodología permite implementar primero el ciclo de activos y asignaciones, comprobarlo con da</w:t>
            </w:r>
            <w:r>
              <w:rPr>
                <w:rFonts w:ascii="Arial" w:hAnsi="Arial" w:eastAsia="Arial" w:cs="Arial"/>
                <w:color w:val="000000"/>
                <w:sz w:val="20"/>
                <w:szCs w:val="20"/>
              </w:rPr>
              <w:t xml:space="preserve">tos persistidos y utilizarlo como base del soporte técnico posterior. Los criterios de aceptación orientan qué validar y la definición de terminado contempla pruebas unitarias e integración, seguridad básica, ejecución en Docker y documentación versionada.</w:t>
            </w:r>
            <w:r/>
            <w:r/>
          </w:p>
        </w:tc>
      </w:tr>
      <w:tr>
        <w:trPr/>
        <w:tc>
          <w:tcPr>
            <w:tcBorders/>
            <w:tcW w:w="3001" w:type="dxa"/>
            <w:vAlign w:val="center"/>
          </w:tcPr>
          <w:p w14:paraId="12455E29" w14:textId="77777777">
            <w:pPr>
              <w:spacing/>
              <w:ind/>
              <w:rPr>
                <w:rFonts w:ascii="Arial" w:hAnsi="Arial" w:cs="Arial"/>
                <w:color w:val="1f3864" w:themeColor="accent1" w:themeShade="80"/>
                <w:sz w:val="20"/>
                <w:szCs w:val="20"/>
              </w:rPr>
            </w:pPr>
            <w:r>
              <w:rPr>
                <w:rFonts w:ascii="Arial" w:hAnsi="Arial" w:eastAsia="Arial" w:cs="Arial"/>
                <w:color w:val="1f3864" w:themeColor="accent1" w:themeShade="80"/>
                <w:sz w:val="20"/>
                <w:szCs w:val="20"/>
              </w:rPr>
              <w:t xml:space="preserve">4. Desarrollo</w:t>
            </w:r>
            <w:r>
              <w:rPr>
                <w:rFonts w:ascii="Arial" w:hAnsi="Arial" w:eastAsia="Arial" w:cs="Arial"/>
                <w:color w:val="1f3864" w:themeColor="accent1" w:themeShade="80"/>
                <w:sz w:val="20"/>
                <w:szCs w:val="20"/>
              </w:rPr>
            </w:r>
          </w:p>
        </w:tc>
        <w:tc>
          <w:tcPr>
            <w:tcBorders/>
            <w:tcMar>
              <w:top w:w="65" w:type="dxa"/>
              <w:bottom w:w="65" w:type="dxa"/>
            </w:tcMar>
            <w:tcW w:w="6780" w:type="dxa"/>
            <w:vAlign w:val="top"/>
          </w:tcPr>
          <w:p w14:paraId="57C8A6B2">
            <w:pPr>
              <w:spacing/>
              <w:ind w:right="0" w:firstLine="0" w:left="0"/>
              <w:rPr>
                <w:rFonts w:ascii="Arial" w:hAnsi="Arial" w:cs="Arial"/>
                <w:sz w:val="20"/>
                <w:szCs w:val="20"/>
              </w:rPr>
            </w:pPr>
            <w:r>
              <w:rPr>
                <w:rFonts w:ascii="Arial" w:hAnsi="Arial" w:eastAsia="Arial" w:cs="Arial"/>
                <w:b/>
                <w:color w:val="000000"/>
                <w:sz w:val="20"/>
                <w:szCs w:val="20"/>
              </w:rPr>
              <w:t xml:space="preserve">Definición y diseño</w:t>
            </w:r>
            <w:r>
              <w:rPr>
                <w:rFonts w:ascii="Arial" w:hAnsi="Arial" w:eastAsia="Arial" w:cs="Arial"/>
                <w:sz w:val="20"/>
                <w:szCs w:val="20"/>
              </w:rPr>
            </w:r>
          </w:p>
          <w:p w14:paraId="2ABA6471">
            <w:pPr>
              <w:spacing/>
              <w:ind w:right="0" w:firstLine="0" w:left="0"/>
              <w:rPr>
                <w:rFonts w:ascii="Arial" w:hAnsi="Arial" w:cs="Arial"/>
                <w:sz w:val="20"/>
                <w:szCs w:val="20"/>
              </w:rPr>
            </w:pPr>
            <w:r>
              <w:rPr>
                <w:rFonts w:ascii="Arial" w:hAnsi="Arial" w:eastAsia="Arial" w:cs="Arial"/>
                <w:color w:val="000000"/>
                <w:sz w:val="20"/>
                <w:szCs w:val="20"/>
              </w:rPr>
              <w:t xml:space="preserve">Se definieron el problema, los roles de usuario y las reglas para gestionar los equipos y las solicitudes de soporte. La arquitectura contempla una plataforma Web de autoservicio y una aplicación de Escritorio administrativa, conectadas a un backend compar</w:t>
            </w:r>
            <w:r>
              <w:rPr>
                <w:rFonts w:ascii="Arial" w:hAnsi="Arial" w:eastAsia="Arial" w:cs="Arial"/>
                <w:color w:val="000000"/>
                <w:sz w:val="20"/>
                <w:szCs w:val="20"/>
              </w:rPr>
              <w:t xml:space="preserve">tido. El modelo de datos comprende 34 tablas en PostgreSQL para usuarios, activos, asignaciones, tickets, taller, repuestos, acuerdos de nivel de servicio y auditoría. Esta estructura permite incorporar progresivamente las funcionalidades previstas.</w:t>
            </w:r>
            <w:r>
              <w:rPr>
                <w:rFonts w:ascii="Arial" w:hAnsi="Arial" w:eastAsia="Arial" w:cs="Arial"/>
                <w:sz w:val="20"/>
                <w:szCs w:val="20"/>
              </w:rPr>
            </w:r>
          </w:p>
          <w:p w14:paraId="68CB062B">
            <w:pPr>
              <w:spacing/>
              <w:ind w:right="0" w:firstLine="0" w:left="0"/>
              <w:rPr>
                <w:rFonts w:ascii="Arial" w:hAnsi="Arial" w:cs="Arial"/>
                <w:sz w:val="20"/>
                <w:szCs w:val="20"/>
              </w:rPr>
            </w:pPr>
            <w:r>
              <w:rPr>
                <w:rFonts w:ascii="Arial" w:hAnsi="Arial" w:eastAsia="Arial" w:cs="Arial"/>
                <w:b/>
                <w:color w:val="000000"/>
                <w:sz w:val="20"/>
                <w:szCs w:val="20"/>
              </w:rPr>
              <w:t xml:space="preserve">Entorno y acceso</w:t>
            </w:r>
            <w:r>
              <w:rPr>
                <w:rFonts w:ascii="Arial" w:hAnsi="Arial" w:eastAsia="Arial" w:cs="Arial"/>
                <w:sz w:val="20"/>
                <w:szCs w:val="20"/>
              </w:rPr>
            </w:r>
          </w:p>
          <w:p w14:paraId="13ABF6A3">
            <w:pPr>
              <w:spacing/>
              <w:ind w:right="0" w:firstLine="0" w:left="0"/>
              <w:rPr>
                <w:rFonts w:ascii="Arial" w:hAnsi="Arial" w:cs="Arial"/>
                <w:sz w:val="20"/>
                <w:szCs w:val="20"/>
              </w:rPr>
            </w:pPr>
            <w:r>
              <w:rPr>
                <w:rFonts w:ascii="Arial" w:hAnsi="Arial" w:eastAsia="Arial" w:cs="Arial"/>
                <w:color w:val="000000"/>
                <w:sz w:val="20"/>
                <w:szCs w:val="20"/>
              </w:rPr>
              <w:t xml:space="preserve">Se configuraron Django, Django REST Framework y PostgreSQL mediante Docker, junto con las variables de entorno y las instrucciones de ejecución. La autenticación se delega a Auth0 y los permisos se administran mediante roles locales. También se implementar</w:t>
            </w:r>
            <w:r>
              <w:rPr>
                <w:rFonts w:ascii="Arial" w:hAnsi="Arial" w:eastAsia="Arial" w:cs="Arial"/>
                <w:color w:val="000000"/>
                <w:sz w:val="20"/>
                <w:szCs w:val="20"/>
              </w:rPr>
              <w:t xml:space="preserve">on la recuperación de acceso y las operaciones de administración de usuarios. Las pruebas realizadas incluyen simulaciones del proveedor externo; queda pendiente consolidar la validación completa con el servicio real.</w:t>
            </w:r>
            <w:r>
              <w:rPr>
                <w:rFonts w:ascii="Arial" w:hAnsi="Arial" w:eastAsia="Arial" w:cs="Arial"/>
                <w:sz w:val="20"/>
                <w:szCs w:val="20"/>
              </w:rPr>
            </w:r>
          </w:p>
          <w:p w14:paraId="42063B72">
            <w:pPr>
              <w:spacing/>
              <w:ind w:right="0" w:firstLine="0" w:left="0"/>
              <w:rPr>
                <w:rFonts w:ascii="Arial" w:hAnsi="Arial" w:cs="Arial"/>
                <w:sz w:val="20"/>
                <w:szCs w:val="20"/>
              </w:rPr>
            </w:pPr>
            <w:r>
              <w:rPr>
                <w:rFonts w:ascii="Arial" w:hAnsi="Arial" w:eastAsia="Arial" w:cs="Arial"/>
                <w:b/>
                <w:color w:val="000000"/>
                <w:sz w:val="20"/>
                <w:szCs w:val="20"/>
              </w:rPr>
              <w:t xml:space="preserve">Activos y asignaciones</w:t>
            </w:r>
            <w:r>
              <w:rPr>
                <w:rFonts w:ascii="Arial" w:hAnsi="Arial" w:eastAsia="Arial" w:cs="Arial"/>
                <w:sz w:val="20"/>
                <w:szCs w:val="20"/>
              </w:rPr>
            </w:r>
          </w:p>
          <w:p w14:paraId="52CFE406">
            <w:pPr>
              <w:spacing/>
              <w:ind w:right="0" w:firstLine="0" w:left="0"/>
              <w:rPr>
                <w:rFonts w:ascii="Arial" w:hAnsi="Arial" w:cs="Arial"/>
                <w:sz w:val="20"/>
                <w:szCs w:val="20"/>
              </w:rPr>
            </w:pPr>
            <w:r>
              <w:rPr>
                <w:rFonts w:ascii="Arial" w:hAnsi="Arial" w:eastAsia="Arial" w:cs="Arial"/>
                <w:color w:val="000000"/>
                <w:sz w:val="20"/>
                <w:szCs w:val="20"/>
              </w:rPr>
              <w:t xml:space="preserve">El backend permite registrar, modificar y consultar activos tecnológicos. Las solicitudes de asignación se realizan por categoría de equipo, comprobando la disponibilidad y evitando solicitudes duplicadas. El Administrador puede aprobarlas o rechazarlas, d</w:t>
            </w:r>
            <w:r>
              <w:rPr>
                <w:rFonts w:ascii="Arial" w:hAnsi="Arial" w:eastAsia="Arial" w:cs="Arial"/>
                <w:color w:val="000000"/>
                <w:sz w:val="20"/>
                <w:szCs w:val="20"/>
              </w:rPr>
              <w:t xml:space="preserve">ejando registro del responsable, la fecha y la decisión. La selección del equipo físico se realiza posteriormente, durante la entrega.</w:t>
            </w:r>
            <w:r>
              <w:rPr>
                <w:rFonts w:ascii="Arial" w:hAnsi="Arial" w:eastAsia="Arial" w:cs="Arial"/>
                <w:sz w:val="20"/>
                <w:szCs w:val="20"/>
              </w:rPr>
            </w:r>
          </w:p>
          <w:p w14:paraId="730995C7">
            <w:pPr>
              <w:spacing/>
              <w:ind w:right="0" w:firstLine="0" w:left="0"/>
              <w:rPr>
                <w:rFonts w:ascii="Arial" w:hAnsi="Arial" w:cs="Arial"/>
                <w:sz w:val="20"/>
                <w:szCs w:val="20"/>
              </w:rPr>
            </w:pPr>
            <w:r>
              <w:rPr>
                <w:rFonts w:ascii="Arial" w:hAnsi="Arial" w:eastAsia="Arial" w:cs="Arial"/>
                <w:color w:val="000000"/>
                <w:sz w:val="20"/>
                <w:szCs w:val="20"/>
              </w:rPr>
              <w:t xml:space="preserve">El Técnico puede registrar la entrega de un activo disponible y compatible con una solicitud aprobada. El sistema relaciona al usuario, la solicitud y el equipo, crea la asignación y actualiza los estados correspondientes. También permite consultar las asi</w:t>
            </w:r>
            <w:r>
              <w:rPr>
                <w:rFonts w:ascii="Arial" w:hAnsi="Arial" w:eastAsia="Arial" w:cs="Arial"/>
                <w:color w:val="000000"/>
                <w:sz w:val="20"/>
                <w:szCs w:val="20"/>
              </w:rPr>
              <w:t xml:space="preserve">gnaciones mediante búsquedas y filtros.</w:t>
            </w:r>
            <w:r>
              <w:rPr>
                <w:rFonts w:ascii="Arial" w:hAnsi="Arial" w:eastAsia="Arial" w:cs="Arial"/>
                <w:sz w:val="20"/>
                <w:szCs w:val="20"/>
              </w:rPr>
            </w:r>
          </w:p>
          <w:p w14:paraId="4935DFD1">
            <w:pPr>
              <w:spacing/>
              <w:ind w:right="0" w:firstLine="0" w:left="0"/>
              <w:rPr>
                <w:rFonts w:ascii="Arial" w:hAnsi="Arial" w:cs="Arial"/>
                <w:sz w:val="20"/>
                <w:szCs w:val="20"/>
              </w:rPr>
            </w:pPr>
            <w:r>
              <w:rPr>
                <w:rFonts w:ascii="Arial" w:hAnsi="Arial" w:eastAsia="Arial" w:cs="Arial"/>
                <w:color w:val="000000"/>
                <w:sz w:val="20"/>
                <w:szCs w:val="20"/>
              </w:rPr>
              <w:t xml:space="preserve">La devolución incluye la recepción y evaluación inicial del equipo. Si está operativo, vuelve a quedar Disponible; si presenta daño o falla, pasa a En revisión y se genera o asocia un ticket de soporte. Los registros relacionados se actualizan de forma con</w:t>
            </w:r>
            <w:r>
              <w:rPr>
                <w:rFonts w:ascii="Arial" w:hAnsi="Arial" w:eastAsia="Arial" w:cs="Arial"/>
                <w:color w:val="000000"/>
                <w:sz w:val="20"/>
                <w:szCs w:val="20"/>
              </w:rPr>
              <w:t xml:space="preserve">junta para evitar inconsistencias.</w:t>
            </w:r>
            <w:r>
              <w:rPr>
                <w:rFonts w:ascii="Arial" w:hAnsi="Arial" w:eastAsia="Arial" w:cs="Arial"/>
                <w:sz w:val="20"/>
                <w:szCs w:val="20"/>
              </w:rPr>
            </w:r>
          </w:p>
          <w:p w14:paraId="0C42D66C">
            <w:pPr>
              <w:spacing/>
              <w:ind w:right="0" w:firstLine="0" w:left="0"/>
              <w:rPr>
                <w:rFonts w:ascii="Arial" w:hAnsi="Arial" w:cs="Arial"/>
                <w:sz w:val="20"/>
                <w:szCs w:val="20"/>
              </w:rPr>
            </w:pPr>
            <w:r>
              <w:rPr>
                <w:rFonts w:ascii="Arial" w:hAnsi="Arial" w:eastAsia="Arial" w:cs="Arial"/>
                <w:b/>
                <w:color w:val="000000"/>
                <w:sz w:val="20"/>
                <w:szCs w:val="20"/>
              </w:rPr>
              <w:t xml:space="preserve">Service Desk e interfaces</w:t>
            </w:r>
            <w:r>
              <w:rPr>
                <w:rFonts w:ascii="Arial" w:hAnsi="Arial" w:eastAsia="Arial" w:cs="Arial"/>
                <w:sz w:val="20"/>
                <w:szCs w:val="20"/>
              </w:rPr>
            </w:r>
          </w:p>
          <w:p w14:paraId="5E48CF36">
            <w:pPr>
              <w:spacing/>
              <w:ind w:right="0" w:firstLine="0" w:left="0"/>
              <w:rPr>
                <w:rFonts w:ascii="Arial" w:hAnsi="Arial" w:cs="Arial"/>
                <w:sz w:val="20"/>
                <w:szCs w:val="20"/>
              </w:rPr>
            </w:pPr>
            <w:r>
              <w:rPr>
                <w:rFonts w:ascii="Arial" w:hAnsi="Arial" w:eastAsia="Arial" w:cs="Arial"/>
                <w:color w:val="000000"/>
                <w:sz w:val="20"/>
                <w:szCs w:val="20"/>
              </w:rPr>
              <w:t xml:space="preserve">Se implementó la creación inicial de tickets mediante API, incluyendo al solicitante, el activo cuando corresponde, el estado inicial y las validaciones de los datos ingresados. El portal Web cuenta con acceso y una estructura visual inicial, pero todavía </w:t>
            </w:r>
            <w:r>
              <w:rPr>
                <w:rFonts w:ascii="Arial" w:hAnsi="Arial" w:eastAsia="Arial" w:cs="Arial"/>
                <w:color w:val="000000"/>
                <w:sz w:val="20"/>
                <w:szCs w:val="20"/>
              </w:rPr>
              <w:t xml:space="preserve">requiere conectar las pantallas de catálogo, solicitudes de asignación y tickets con los servicios disponibles. La aplicación de Escritorio en PySide6 continúa pendiente de desarrollo.</w:t>
            </w:r>
            <w:r>
              <w:rPr>
                <w:rFonts w:ascii="Arial" w:hAnsi="Arial" w:eastAsia="Arial" w:cs="Arial"/>
                <w:sz w:val="20"/>
                <w:szCs w:val="20"/>
              </w:rPr>
            </w:r>
          </w:p>
          <w:p w14:paraId="32EE56C1">
            <w:pPr>
              <w:spacing/>
              <w:ind w:right="0" w:firstLine="0" w:left="0"/>
              <w:rPr>
                <w:rFonts w:ascii="Arial" w:hAnsi="Arial" w:cs="Arial"/>
                <w:sz w:val="20"/>
                <w:szCs w:val="20"/>
              </w:rPr>
            </w:pPr>
            <w:r>
              <w:rPr>
                <w:rFonts w:ascii="Arial" w:hAnsi="Arial" w:eastAsia="Arial" w:cs="Arial"/>
                <w:color w:val="000000"/>
                <w:sz w:val="20"/>
                <w:szCs w:val="20"/>
              </w:rPr>
              <w:t xml:space="preserve">Los servicios implementados forman parte de las dos APIs propias previstas: Gestión de Activos y Asignaciones, y Service Desk y Taller/Reparaciones. La integración con Auth0 está disponible, mientras que el correo transaccional y la generación de códigos Q</w:t>
            </w:r>
            <w:r>
              <w:rPr>
                <w:rFonts w:ascii="Arial" w:hAnsi="Arial" w:eastAsia="Arial" w:cs="Arial"/>
                <w:color w:val="000000"/>
                <w:sz w:val="20"/>
                <w:szCs w:val="20"/>
              </w:rPr>
              <w:t xml:space="preserve">R permanecen pendientes. La lectura de códigos mediante dispositivos USB HID corresponde a una integración local y no se contabiliza como API externa.</w:t>
            </w:r>
            <w:r>
              <w:rPr>
                <w:rFonts w:ascii="Arial" w:hAnsi="Arial" w:eastAsia="Arial" w:cs="Arial"/>
                <w:sz w:val="20"/>
                <w:szCs w:val="20"/>
              </w:rPr>
            </w:r>
          </w:p>
          <w:p w14:paraId="02ED05DC">
            <w:pPr>
              <w:spacing/>
              <w:ind w:right="0" w:firstLine="0" w:left="0"/>
              <w:rPr>
                <w:rFonts w:ascii="Arial" w:hAnsi="Arial" w:cs="Arial"/>
                <w:sz w:val="20"/>
                <w:szCs w:val="20"/>
              </w:rPr>
            </w:pPr>
            <w:r>
              <w:rPr>
                <w:rFonts w:ascii="Arial" w:hAnsi="Arial" w:eastAsia="Arial" w:cs="Arial"/>
                <w:b/>
                <w:color w:val="000000"/>
                <w:sz w:val="20"/>
                <w:szCs w:val="20"/>
              </w:rPr>
              <w:t xml:space="preserve">Dificultades y ajustes</w:t>
            </w:r>
            <w:r>
              <w:rPr>
                <w:rFonts w:ascii="Arial" w:hAnsi="Arial" w:eastAsia="Arial" w:cs="Arial"/>
                <w:sz w:val="20"/>
                <w:szCs w:val="20"/>
              </w:rPr>
            </w:r>
          </w:p>
          <w:p w14:paraId="0544286A">
            <w:pPr>
              <w:spacing/>
              <w:ind w:right="0" w:firstLine="0" w:left="0"/>
              <w:rPr>
                <w:rFonts w:ascii="Arial" w:hAnsi="Arial" w:cs="Arial"/>
                <w:sz w:val="20"/>
                <w:szCs w:val="20"/>
              </w:rPr>
            </w:pPr>
            <w:r>
              <w:rPr>
                <w:rFonts w:ascii="Arial" w:hAnsi="Arial" w:eastAsia="Arial" w:cs="Arial"/>
                <w:color w:val="000000"/>
                <w:sz w:val="20"/>
                <w:szCs w:val="20"/>
              </w:rPr>
              <w:t xml:space="preserve">Parte del desarrollo funcional se reprogramó por planificación académica, manteniendo los objetivos del proyecto. También surgieron conflictos al integrar cambios del repositorio realizados por distintos integrantes. Estos se resolvieron conservando las co</w:t>
            </w:r>
            <w:r>
              <w:rPr>
                <w:rFonts w:ascii="Arial" w:hAnsi="Arial" w:eastAsia="Arial" w:cs="Arial"/>
                <w:color w:val="000000"/>
                <w:sz w:val="20"/>
                <w:szCs w:val="20"/>
              </w:rPr>
              <w:t xml:space="preserve">ntribuciones y verificando el resultado mediante pruebas.</w:t>
            </w:r>
            <w:r>
              <w:rPr>
                <w:rFonts w:ascii="Arial" w:hAnsi="Arial" w:eastAsia="Arial" w:cs="Arial"/>
                <w:sz w:val="20"/>
                <w:szCs w:val="20"/>
              </w:rPr>
            </w:r>
          </w:p>
          <w:p w14:paraId="4E0ABA93">
            <w:pPr>
              <w:spacing/>
              <w:ind w:right="0" w:firstLine="0" w:left="0"/>
              <w:rPr>
                <w:rFonts w:ascii="Arial" w:hAnsi="Arial" w:cs="Arial"/>
                <w:sz w:val="20"/>
                <w:szCs w:val="20"/>
              </w:rPr>
            </w:pPr>
            <w:r>
              <w:rPr>
                <w:rFonts w:ascii="Arial" w:hAnsi="Arial" w:eastAsia="Arial" w:cs="Arial"/>
                <w:color w:val="000000"/>
                <w:sz w:val="20"/>
                <w:szCs w:val="20"/>
              </w:rPr>
              <w:t xml:space="preserve">El backend compartido y el entorno reproducible facilitaron la integración y revisión de los flujos. La continuidad del trabajo considera completar las interfaces Web, desarrollar el cliente de Escritorio y ampliar la gestión de soporte con seguimiento de </w:t>
            </w:r>
            <w:r>
              <w:rPr>
                <w:rFonts w:ascii="Arial" w:hAnsi="Arial" w:eastAsia="Arial" w:cs="Arial"/>
                <w:color w:val="000000"/>
                <w:sz w:val="20"/>
                <w:szCs w:val="20"/>
              </w:rPr>
              <w:t xml:space="preserve">tickets, diagnósticos, órdenes de trabajo y notificaciones. También permanecen previstas las funcionalidades de repuestos, identificación mediante códigos QR y reportería, junto con la consolidación de las evidencias de aceptación.</w:t>
            </w:r>
            <w:r>
              <w:rPr>
                <w:rFonts w:ascii="Arial" w:hAnsi="Arial" w:eastAsia="Arial" w:cs="Arial"/>
                <w:sz w:val="20"/>
                <w:szCs w:val="20"/>
              </w:rPr>
            </w:r>
            <w:r>
              <w:rPr>
                <w:rFonts w:ascii="Arial" w:hAnsi="Arial" w:eastAsia="Arial" w:cs="Arial"/>
                <w:sz w:val="20"/>
                <w:szCs w:val="20"/>
              </w:rPr>
            </w:r>
          </w:p>
        </w:tc>
      </w:tr>
      <w:tr>
        <w:trPr/>
        <w:tc>
          <w:tcPr>
            <w:tcBorders/>
            <w:tcW w:w="3001" w:type="dxa"/>
            <w:vAlign w:val="center"/>
          </w:tcPr>
          <w:p w14:paraId="30C37D62" w14:textId="77777777">
            <w:pPr>
              <w:spacing/>
              <w:ind/>
              <w:rPr>
                <w:rFonts w:ascii="Arial" w:hAnsi="Arial" w:cs="Arial"/>
                <w:color w:val="1f3864" w:themeColor="accent1" w:themeShade="80"/>
                <w:sz w:val="18"/>
              </w:rPr>
            </w:pPr>
            <w:r>
              <w:rPr>
                <w:rFonts w:ascii="Arial" w:hAnsi="Arial" w:eastAsia="Arial" w:cs="Arial"/>
                <w:color w:val="1f3864" w:themeColor="accent1" w:themeShade="80"/>
                <w:sz w:val="18"/>
              </w:rPr>
              <w:t xml:space="preserve">5. Evidencias</w:t>
            </w:r>
            <w:r>
              <w:rPr>
                <w:rFonts w:ascii="Arial" w:hAnsi="Arial" w:eastAsia="Arial" w:cs="Arial"/>
                <w:color w:val="1f3864" w:themeColor="accent1" w:themeShade="80"/>
                <w:sz w:val="18"/>
              </w:rPr>
            </w:r>
          </w:p>
        </w:tc>
        <w:tc>
          <w:tcPr>
            <w:tcBorders/>
            <w:tcMar>
              <w:top w:w="65" w:type="dxa"/>
              <w:bottom w:w="65" w:type="dxa"/>
            </w:tcMar>
            <w:tcW w:w="6780" w:type="dxa"/>
            <w:vAlign w:val="top"/>
          </w:tcPr>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Las siguientes evidencias permiten seguir la relación entre lo definido, lo implementado y lo probado. Se encuentran en el repositorio SIGET; los enlaces de referencia corresponden a la versión revisada para este informe.</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[E1] Guía 1.5 y Acta de Constitución: problema, objetivos, alcance dual y planificación. Sustentan los seis objetivos específicos y el contexto de organización simulada.</w:t>
            </w:r>
            <w:r>
              <w:rPr>
                <w:rFonts w:ascii="Arial" w:hAnsi="Arial" w:eastAsia="Arial" w:cs="Arial"/>
              </w:rPr>
            </w:r>
          </w:p>
          <w:p>
            <w:pPr>
              <w:pStyle w:val="766"/>
              <w:keepNext w:val="false"/>
              <w:keepLines w:val="true"/>
              <w:widowControl w:val="true"/>
              <w:spacing w:after="40" w:before="0" w:line="240" w:lineRule="auto"/>
              <w:ind w:right="0" w:firstLine="0" w:left="0"/>
              <w:jc w:val="left"/>
              <w:rPr>
                <w:rFonts w:ascii="Arial" w:hAnsi="Arial" w:cs="Arial"/>
              </w:rPr>
            </w:pPr>
            <w:r>
              <w:rPr>
                <w:rFonts w:ascii="Arial" w:hAnsi="Arial" w:eastAsia="Arial" w:cs="Arial"/>
                <w:color w:val="000000"/>
                <w:sz w:val="19"/>
                <w:szCs w:val="19"/>
              </w:rPr>
              <w:t xml:space="preserve">Consultar </w:t>
            </w:r>
            <w:hyperlink r:id="rId14" w:tooltip="https://github.com/NWOOD777/SIGET/blob/cb65f419e38a43e73a9d1b96d68d0bd041df5cb3/Fase%201/Evidencias%20Grupales/1.5_GuiaEstudiante_Fase%201_Definicion%20Proyecto%20APT%20%28Espa%C3%B1ol%29.docx" w:history="1">
              <w:r>
                <w:rPr>
                  <w:rFonts w:ascii="Arial" w:hAnsi="Arial" w:eastAsia="Arial" w:cs="Arial"/>
                  <w:color w:val="0563c1"/>
                  <w:sz w:val="19"/>
                  <w:szCs w:val="19"/>
                  <w:u w:val="single"/>
                </w:rPr>
                <w:t xml:space="preserve">Guía 1.5</w:t>
              </w:r>
            </w:hyperlink>
            <w:r>
              <w:rPr>
                <w:rFonts w:ascii="Arial" w:hAnsi="Arial" w:eastAsia="Arial" w:cs="Arial"/>
                <w:color w:val="000000"/>
                <w:sz w:val="19"/>
                <w:szCs w:val="19"/>
              </w:rPr>
              <w:t xml:space="preserve"> · </w:t>
            </w:r>
            <w:hyperlink r:id="rId15" w:tooltip="https://github.com/NWOOD777/SIGET/blob/cb65f419e38a43e73a9d1b96d68d0bd041df5cb3/Fase%202/Evidencias%20Proyecto/Evidencias%20de%20documentaci%C3%B3n/Documentaci%C3%B3n/Acta%20de%20Constituci%C3%B3n%20SIGET.docx" w:history="1">
              <w:r>
                <w:rPr>
                  <w:rFonts w:ascii="Arial" w:hAnsi="Arial" w:eastAsia="Arial" w:cs="Arial"/>
                  <w:color w:val="0563c1"/>
                  <w:sz w:val="19"/>
                  <w:szCs w:val="19"/>
                  <w:u w:val="single"/>
                </w:rPr>
                <w:t xml:space="preserve">Acta de Constitución</w:t>
              </w:r>
            </w:hyperlink>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[E2] Product Backlog e Historias de Usuario y criterios de aceptación: alcance por historia y secuencia de desarrollo</w:t>
            </w:r>
            <w:r>
              <w:rPr>
                <w:rFonts w:ascii="Arial" w:hAnsi="Arial" w:eastAsia="Arial" w:cs="Arial"/>
                <w:color w:val="000000"/>
                <w:sz w:val="20"/>
                <w:szCs w:val="20"/>
                <w:lang w:val="es-ES"/>
              </w:rPr>
              <w:t xml:space="preserve">.</w:t>
            </w:r>
            <w:r>
              <w:rPr>
                <w:rFonts w:ascii="Arial" w:hAnsi="Arial" w:eastAsia="Arial" w:cs="Arial"/>
              </w:rPr>
            </w:r>
          </w:p>
          <w:p>
            <w:pPr>
              <w:pStyle w:val="766"/>
              <w:keepNext w:val="false"/>
              <w:keepLines w:val="true"/>
              <w:widowControl w:val="true"/>
              <w:spacing w:after="40" w:before="0" w:line="240" w:lineRule="auto"/>
              <w:ind w:right="0" w:firstLine="0" w:left="0"/>
              <w:jc w:val="left"/>
              <w:rPr>
                <w:rFonts w:ascii="Arial" w:hAnsi="Arial" w:cs="Arial"/>
              </w:rPr>
            </w:pPr>
            <w:r>
              <w:rPr>
                <w:rFonts w:ascii="Arial" w:hAnsi="Arial" w:eastAsia="Arial" w:cs="Arial"/>
                <w:color w:val="000000"/>
                <w:sz w:val="19"/>
                <w:szCs w:val="19"/>
              </w:rPr>
              <w:t xml:space="preserve">Consultar </w:t>
            </w:r>
            <w:hyperlink r:id="rId16" w:tooltip="https://github.com/NWOOD777/SIGET/blob/cb65f419e38a43e73a9d1b96d68d0bd041df5cb3/Fase%202/Evidencias%20Proyecto/Evidencias%20de%20documentaci%C3%B3n/Documentaci%C3%B3n/Product%20Backlog%20SIGET.xlsx" w:history="1">
              <w:r>
                <w:rPr>
                  <w:rFonts w:ascii="Arial" w:hAnsi="Arial" w:eastAsia="Arial" w:cs="Arial"/>
                  <w:color w:val="0563c1"/>
                  <w:sz w:val="19"/>
                  <w:szCs w:val="19"/>
                  <w:u w:val="single"/>
                </w:rPr>
                <w:t xml:space="preserve">Product Backlog</w:t>
              </w:r>
            </w:hyperlink>
            <w:r>
              <w:rPr>
                <w:rFonts w:ascii="Arial" w:hAnsi="Arial" w:eastAsia="Arial" w:cs="Arial"/>
                <w:color w:val="000000"/>
                <w:sz w:val="19"/>
                <w:szCs w:val="19"/>
              </w:rPr>
              <w:t xml:space="preserve"> · </w:t>
            </w:r>
            <w:hyperlink r:id="rId17" w:tooltip="https://github.com/NWOOD777/SIGET/blob/cb65f419e38a43e73a9d1b96d68d0bd041df5cb3/Fase%202/Evidencias%20Proyecto/Evidencias%20de%20documentaci%C3%B3n/Documentaci%C3%B3n/Historias%20de%20Usuario%20y%20criterios%20de%20aceptaci%C3%B3n%20SIGET.xlsx" w:history="1">
              <w:r>
                <w:rPr>
                  <w:rFonts w:ascii="Arial" w:hAnsi="Arial" w:eastAsia="Arial" w:cs="Arial"/>
                  <w:color w:val="0563c1"/>
                  <w:sz w:val="19"/>
                  <w:szCs w:val="19"/>
                  <w:u w:val="single"/>
                </w:rPr>
                <w:t xml:space="preserve">Historias y criterios de aceptación</w:t>
              </w:r>
            </w:hyperlink>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[E3] Documento de Diseño y Arquitectura Preliminar, UML, diccionario e init_siget_bd.sql: componentes, comunicación, relaciones y modelo de 34 tablas.</w:t>
            </w:r>
            <w:r>
              <w:rPr>
                <w:rFonts w:ascii="Arial" w:hAnsi="Arial" w:eastAsia="Arial" w:cs="Arial"/>
              </w:rPr>
            </w:r>
          </w:p>
          <w:p>
            <w:pPr>
              <w:pStyle w:val="766"/>
              <w:keepNext w:val="false"/>
              <w:keepLines w:val="true"/>
              <w:widowControl w:val="true"/>
              <w:spacing w:after="40" w:before="0" w:line="240" w:lineRule="auto"/>
              <w:ind w:right="0" w:firstLine="0" w:left="0"/>
              <w:jc w:val="left"/>
              <w:rPr>
                <w:rFonts w:ascii="Arial" w:hAnsi="Arial" w:cs="Arial"/>
              </w:rPr>
            </w:pPr>
            <w:r>
              <w:rPr>
                <w:rFonts w:ascii="Arial" w:hAnsi="Arial" w:eastAsia="Arial" w:cs="Arial"/>
                <w:color w:val="000000"/>
                <w:sz w:val="19"/>
                <w:szCs w:val="19"/>
              </w:rPr>
              <w:t xml:space="preserve">Consultar </w:t>
            </w:r>
            <w:hyperlink r:id="rId18" w:tooltip="https://github.com/NWOOD777/SIGET/blob/cb65f419e38a43e73a9d1b96d68d0bd041df5cb3/Fase%202/Evidencias%20Proyecto/Evidencias%20de%20documentaci%C3%B3n/Arquitectura/Documento%20de%20Dise%C3%B1o%20y%20Arquitectura%20Preliminar%20SIGET.docx" w:history="1">
              <w:r>
                <w:rPr>
                  <w:rFonts w:ascii="Arial" w:hAnsi="Arial" w:eastAsia="Arial" w:cs="Arial"/>
                  <w:color w:val="0563c1"/>
                  <w:sz w:val="19"/>
                  <w:szCs w:val="19"/>
                  <w:u w:val="single"/>
                </w:rPr>
                <w:t xml:space="preserve">Diseño y arquitectura</w:t>
              </w:r>
            </w:hyperlink>
            <w:r>
              <w:rPr>
                <w:rFonts w:ascii="Arial" w:hAnsi="Arial" w:eastAsia="Arial" w:cs="Arial"/>
                <w:color w:val="000000"/>
                <w:sz w:val="19"/>
                <w:szCs w:val="19"/>
              </w:rPr>
              <w:t xml:space="preserve"> · </w:t>
            </w:r>
            <w:hyperlink r:id="rId19" w:tooltip="https://github.com/NWOOD777/SIGET/blob/cb65f419e38a43e73a9d1b96d68d0bd041df5cb3/Fase%202/Evidencias%20Proyecto/Evidencias%20de%20documentaci%C3%B3n/Modelo%20de%20Datos/diccionario%20de%20datos%20SIGET.xlsx" w:history="1">
              <w:r>
                <w:rPr>
                  <w:rFonts w:ascii="Arial" w:hAnsi="Arial" w:eastAsia="Arial" w:cs="Arial"/>
                  <w:color w:val="0563c1"/>
                  <w:sz w:val="19"/>
                  <w:szCs w:val="19"/>
                  <w:u w:val="single"/>
                </w:rPr>
                <w:t xml:space="preserve">Modelo de datos</w:t>
              </w:r>
            </w:hyperlink>
            <w:r>
              <w:rPr>
                <w:rFonts w:ascii="Arial" w:hAnsi="Arial" w:eastAsia="Arial" w:cs="Arial"/>
                <w:color w:val="000000"/>
                <w:sz w:val="19"/>
                <w:szCs w:val="19"/>
              </w:rPr>
              <w:t xml:space="preserve"> · </w:t>
            </w:r>
            <w:hyperlink r:id="rId20" w:tooltip="https://github.com/NWOOD777/SIGET/blob/cb65f419e38a43e73a9d1b96d68d0bd041df5cb3/Fase%202/Evidencias%20Proyecto/Evidencias%20de%20sistema/Base%20de%20datos/init_siget_bd.sql" w:history="1">
              <w:r>
                <w:rPr>
                  <w:rFonts w:ascii="Arial" w:hAnsi="Arial" w:eastAsia="Arial" w:cs="Arial"/>
                  <w:color w:val="0563c1"/>
                  <w:sz w:val="19"/>
                  <w:szCs w:val="19"/>
                  <w:u w:val="single"/>
                </w:rPr>
                <w:t xml:space="preserve">Script SQL</w:t>
              </w:r>
            </w:hyperlink>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[E4] Código Django/DRF y API_DOCS.md: contratos, validaciones, permisos y operaciones de activos, asignaciones y tickets iniciales. Las pruebas de E3-H8 y E4-H11 comprueban estados, trazabilidad, transacciones y acceso por rol.</w:t>
            </w:r>
            <w:r>
              <w:rPr>
                <w:rFonts w:ascii="Arial" w:hAnsi="Arial" w:eastAsia="Arial" w:cs="Arial"/>
              </w:rPr>
            </w:r>
          </w:p>
          <w:p>
            <w:pPr>
              <w:pStyle w:val="766"/>
              <w:keepNext w:val="false"/>
              <w:keepLines w:val="true"/>
              <w:widowControl w:val="true"/>
              <w:spacing w:after="40" w:before="0" w:line="240" w:lineRule="auto"/>
              <w:ind w:right="0" w:firstLine="0" w:left="0"/>
              <w:jc w:val="left"/>
              <w:rPr>
                <w:rFonts w:ascii="Arial" w:hAnsi="Arial" w:cs="Arial"/>
              </w:rPr>
            </w:pPr>
            <w:r>
              <w:rPr>
                <w:rFonts w:ascii="Arial" w:hAnsi="Arial" w:eastAsia="Arial" w:cs="Arial"/>
                <w:color w:val="000000"/>
                <w:sz w:val="19"/>
                <w:szCs w:val="19"/>
              </w:rPr>
              <w:t xml:space="preserve">Consultar </w:t>
            </w:r>
            <w:hyperlink r:id="rId21" w:tooltip="https://github.com/NWOOD777/SIGET/blob/cb65f419e38a43e73a9d1b96d68d0bd041df5cb3/Fase%202/Evidencias%20Proyecto/Evidencias%20de%20sistema/Aplicaci%C3%B3n/API_DOCS.md" w:history="1">
              <w:r>
                <w:rPr>
                  <w:rFonts w:ascii="Arial" w:hAnsi="Arial" w:eastAsia="Arial" w:cs="Arial"/>
                  <w:color w:val="0563c1"/>
                  <w:sz w:val="19"/>
                  <w:szCs w:val="19"/>
                  <w:u w:val="single"/>
                </w:rPr>
                <w:t xml:space="preserve">Documentación REST</w:t>
              </w:r>
            </w:hyperlink>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[E5] Dockerfile, docker-compose.yml, .env.example y README: reproducibilidad del backend y PostgreSQL e instrucciones para configurar el entorno.</w:t>
            </w:r>
            <w:r>
              <w:rPr>
                <w:rFonts w:ascii="Arial" w:hAnsi="Arial" w:eastAsia="Arial" w:cs="Arial"/>
              </w:rPr>
            </w:r>
          </w:p>
          <w:p>
            <w:pPr>
              <w:pStyle w:val="766"/>
              <w:keepNext w:val="false"/>
              <w:keepLines w:val="true"/>
              <w:widowControl w:val="true"/>
              <w:spacing w:after="40" w:before="0" w:line="240" w:lineRule="auto"/>
              <w:ind w:right="0" w:firstLine="0" w:left="0"/>
              <w:jc w:val="left"/>
              <w:rPr>
                <w:rFonts w:ascii="Arial" w:hAnsi="Arial" w:cs="Arial"/>
              </w:rPr>
            </w:pPr>
            <w:r>
              <w:rPr>
                <w:rFonts w:ascii="Arial" w:hAnsi="Arial" w:eastAsia="Arial" w:cs="Arial"/>
                <w:color w:val="000000"/>
                <w:sz w:val="19"/>
                <w:szCs w:val="19"/>
              </w:rPr>
              <w:t xml:space="preserve">Consultar </w:t>
            </w:r>
            <w:hyperlink r:id="rId22" w:tooltip="https://github.com/NWOOD777/SIGET/blob/cb65f419e38a43e73a9d1b96d68d0bd041df5cb3/Fase%202/Evidencias%20Proyecto/Evidencias%20de%20sistema/Aplicaci%C3%B3n/README.md" w:history="1">
              <w:r>
                <w:rPr>
                  <w:rFonts w:ascii="Arial" w:hAnsi="Arial" w:eastAsia="Arial" w:cs="Arial"/>
                  <w:color w:val="0563c1"/>
                  <w:sz w:val="19"/>
                  <w:szCs w:val="19"/>
                  <w:u w:val="single"/>
                </w:rPr>
                <w:t xml:space="preserve">Ejecución y configuración</w:t>
              </w:r>
            </w:hyperlink>
            <w:r>
              <w:rPr>
                <w:rFonts w:ascii="Arial" w:hAnsi="Arial" w:eastAsia="Arial" w:cs="Arial"/>
              </w:rPr>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[E6] Pruebas de usuarios, activos, asignaciones y tickets: última ejecución local disponible con 266 pruebas aprobadas, de las cuales 68 utilizaron PostgreSQL real y 19</w:t>
            </w:r>
            <w:r>
              <w:rPr>
                <w:rFonts w:ascii="Arial" w:hAnsi="Arial" w:eastAsia="Arial" w:cs="Arial"/>
                <w:color w:val="000000"/>
                <w:sz w:val="20"/>
                <w:szCs w:val="20"/>
              </w:rPr>
              <w:t xml:space="preserve">8 emplearon dobles de prueba. El resumen registrado fue «Ran 266 tests in 15.224s — OK». Pyright finalizó sin errores. Estos resultados respaldan el incremento comprobado; no sustituyen las pruebas de rendimiento, seguridad integral ni la aceptación final.</w:t>
            </w:r>
            <w:r>
              <w:rPr>
                <w:rFonts w:ascii="Arial" w:hAnsi="Arial" w:eastAsia="Arial" w:cs="Arial"/>
              </w:rPr>
            </w:r>
          </w:p>
          <w:p>
            <w:pPr>
              <w:pStyle w:val="766"/>
              <w:keepNext w:val="false"/>
              <w:keepLines w:val="true"/>
              <w:widowControl w:val="true"/>
              <w:spacing w:after="40" w:before="0" w:line="240" w:lineRule="auto"/>
              <w:ind w:right="0" w:firstLine="0" w:left="0"/>
              <w:jc w:val="left"/>
              <w:rPr>
                <w:rFonts w:ascii="Arial" w:hAnsi="Arial" w:cs="Arial"/>
              </w:rPr>
            </w:pPr>
            <w:r>
              <w:rPr>
                <w:rFonts w:ascii="Arial" w:hAnsi="Arial" w:eastAsia="Arial" w:cs="Arial"/>
                <w:color w:val="000000"/>
                <w:sz w:val="19"/>
                <w:szCs w:val="19"/>
              </w:rPr>
              <w:t xml:space="preserve">Consultar </w:t>
            </w:r>
            <w:hyperlink r:id="rId23" w:tooltip="https://github.com/NWOOD777/SIGET/tree/cb65f419e38a43e73a9d1b96d68d0bd041df5cb3/Fase%202/Evidencias%20Proyecto/Evidencias%20de%20sistema/Aplicaci%C3%B3n/siget_web" w:history="1">
              <w:r>
                <w:rPr>
                  <w:rFonts w:ascii="Arial" w:hAnsi="Arial" w:eastAsia="Arial" w:cs="Arial"/>
                  <w:color w:val="0563c1"/>
                  <w:sz w:val="19"/>
                  <w:szCs w:val="19"/>
                  <w:u w:val="single"/>
                </w:rPr>
                <w:t xml:space="preserve">Pruebas del backend</w:t>
              </w:r>
            </w:hyperlink>
            <w:r>
              <w:rPr>
                <w:rFonts w:ascii="Arial" w:hAnsi="Arial" w:eastAsia="Arial" w:cs="Arial"/>
                <w:color w:val="000000"/>
                <w:sz w:val="19"/>
                <w:szCs w:val="19"/>
              </w:rPr>
              <w:t xml:space="preserve"> · </w:t>
            </w:r>
            <w:hyperlink r:id="rId24" w:tooltip="https://github.com/NWOOD777/SIGET/blob/cb65f419e38a43e73a9d1b96d68d0bd041df5cb3/Fase%202/Evidencias%20Proyecto/Evidencias%20de%20sistema/Aplicaci%C3%B3n/siget_web/asignaciones/tests/test_e3_h8_integracion_postgresql.py" w:history="1">
              <w:r>
                <w:rPr>
                  <w:rFonts w:ascii="Arial" w:hAnsi="Arial" w:eastAsia="Arial" w:cs="Arial"/>
                  <w:color w:val="0563c1"/>
                  <w:sz w:val="19"/>
                  <w:szCs w:val="19"/>
                  <w:u w:val="single"/>
                </w:rPr>
                <w:t xml:space="preserve">Pruebas E3-H8</w:t>
              </w:r>
            </w:hyperlink>
            <w:r>
              <w:rPr>
                <w:rFonts w:ascii="Arial" w:hAnsi="Arial" w:eastAsia="Arial" w:cs="Arial"/>
                <w:color w:val="000000"/>
                <w:sz w:val="19"/>
                <w:szCs w:val="19"/>
              </w:rPr>
              <w:t xml:space="preserve"> · </w:t>
            </w:r>
            <w:hyperlink r:id="rId25" w:tooltip="https://github.com/NWOOD777/SIGET/blob/cb65f419e38a43e73a9d1b96d68d0bd041df5cb3/Fase%202/Evidencias%20Proyecto/Evidencias%20de%20sistema/Aplicaci%C3%B3n/siget_web/asignaciones/tests/test_e4_h11_integracion_postgresql.py" w:history="1">
              <w:r>
                <w:rPr>
                  <w:rFonts w:ascii="Arial" w:hAnsi="Arial" w:eastAsia="Arial" w:cs="Arial"/>
                  <w:color w:val="0563c1"/>
                  <w:sz w:val="19"/>
                  <w:szCs w:val="19"/>
                  <w:u w:val="single"/>
                </w:rPr>
                <w:t xml:space="preserve">Pruebas E4-H11</w:t>
              </w:r>
            </w:hyperlink>
            <w:r>
              <w:rPr>
                <w:rFonts w:ascii="Arial" w:hAnsi="Arial" w:eastAsia="Arial" w:cs="Arial"/>
              </w:rPr>
            </w:r>
            <w:r>
              <w:rPr>
                <w:rFonts w:ascii="Arial" w:hAnsi="Arial" w:eastAsia="Arial" w:cs="Arial"/>
              </w:rPr>
            </w:r>
          </w:p>
          <w:p>
            <w:pPr>
              <w:pStyle w:val="766"/>
              <w:keepNext w:val="false"/>
              <w:keepLines w:val="true"/>
              <w:widowControl w:val="true"/>
              <w:spacing w:after="100" w:before="240" w:line="259" w:lineRule="auto"/>
              <w:ind w:right="0" w:firstLine="0" w:left="0"/>
              <w:jc w:val="left"/>
              <w:rPr>
                <w:rFonts w:ascii="Arial" w:hAnsi="Arial" w:eastAsia="Arial" w:cs="Arial"/>
                <w:color w:val="000000"/>
                <w:sz w:val="20"/>
                <w:szCs w:val="20"/>
                <w:highlight w:val="none"/>
                <w:lang w:val="es-ES"/>
              </w:rPr>
            </w:pPr>
            <w:r>
              <w:rPr>
                <w:rFonts w:ascii="Arial" w:hAnsi="Arial" w:eastAsia="Arial" w:cs="Arial"/>
                <w:color w:val="000000"/>
                <w:sz w:val="20"/>
                <w:szCs w:val="20"/>
              </w:rPr>
              <w:t xml:space="preserve">Las instrucciones de ejecución y configuración se incluyen en el README. Las pruebas utilizan una base separada de los datos de trabajo. El registro de resultados y las capturas de los flujos integrados deben consolidarse en las evidencias del cierre</w:t>
            </w:r>
            <w:r>
              <w:rPr>
                <w:rFonts w:ascii="Arial" w:hAnsi="Arial" w:eastAsia="Arial" w:cs="Arial"/>
                <w:color w:val="000000"/>
                <w:sz w:val="20"/>
                <w:szCs w:val="20"/>
                <w:lang w:val="es-ES"/>
              </w:rPr>
              <w:t xml:space="preserve">.</w:t>
            </w:r>
            <w:r>
              <w:rPr>
                <w:rFonts w:ascii="Arial" w:hAnsi="Arial" w:cs="Arial"/>
              </w:rPr>
            </w:r>
          </w:p>
          <w:p w14:paraId="7514884D">
            <w:pPr>
              <w:pStyle w:val="766"/>
              <w:keepNext w:val="false"/>
              <w:keepLines w:val="true"/>
              <w:widowControl w:val="true"/>
              <w:spacing w:after="100" w:before="0" w:line="259" w:lineRule="auto"/>
              <w:ind w:right="0" w:firstLine="0" w:left="0"/>
              <w:jc w:val="left"/>
              <w:rPr>
                <w:rFonts w:ascii="Arial" w:hAnsi="Arial" w:cs="Arial"/>
                <w:sz w:val="20"/>
                <w:szCs w:val="20"/>
              </w:rPr>
            </w:pPr>
            <w:r>
              <w:rPr>
                <w:rFonts w:ascii="Arial" w:hAnsi="Arial" w:eastAsia="Arial" w:cs="Arial"/>
                <w:color w:val="000000"/>
                <w:sz w:val="20"/>
                <w:szCs w:val="20"/>
              </w:rPr>
              <w:t xml:space="preserve">[E7] Seguimiento Scrum: Sprint Backlogs, registros de reuniones y retrospectivas de</w:t>
            </w:r>
            <w:r>
              <w:rPr>
                <w:rFonts w:ascii="Arial" w:hAnsi="Arial" w:eastAsia="Arial" w:cs="Arial"/>
                <w:color w:val="000000"/>
                <w:sz w:val="20"/>
                <w:szCs w:val="20"/>
                <w:lang w:val="es-ES"/>
              </w:rPr>
              <w:t xml:space="preserve"> cada</w:t>
            </w:r>
            <w:r>
              <w:rPr>
                <w:rFonts w:ascii="Arial" w:hAnsi="Arial" w:eastAsia="Arial" w:cs="Arial"/>
                <w:color w:val="000000"/>
                <w:sz w:val="20"/>
                <w:szCs w:val="20"/>
              </w:rPr>
              <w:t xml:space="preserve"> Sprint</w:t>
            </w:r>
            <w:r>
              <w:rPr>
                <w:rFonts w:ascii="Arial" w:hAnsi="Arial" w:eastAsia="Arial" w:cs="Arial"/>
                <w:color w:val="000000"/>
                <w:sz w:val="20"/>
                <w:szCs w:val="20"/>
                <w:lang w:val="es-ES"/>
              </w:rPr>
              <w:t xml:space="preserve">.</w:t>
            </w:r>
            <w:r>
              <w:rPr>
                <w:rFonts w:ascii="Arial" w:hAnsi="Arial" w:eastAsia="Arial" w:cs="Arial"/>
                <w:sz w:val="20"/>
                <w:szCs w:val="20"/>
              </w:rPr>
            </w:r>
            <w:r>
              <w:rPr>
                <w:rFonts w:ascii="Arial" w:hAnsi="Arial" w:eastAsia="Arial" w:cs="Arial"/>
                <w:sz w:val="20"/>
                <w:szCs w:val="20"/>
              </w:rPr>
            </w:r>
          </w:p>
          <w:p w14:paraId="34769614">
            <w:pPr>
              <w:pStyle w:val="766"/>
              <w:keepNext w:val="false"/>
              <w:keepLines w:val="true"/>
              <w:widowControl w:val="true"/>
              <w:spacing w:after="40" w:before="0" w:line="240" w:lineRule="auto"/>
              <w:ind w:right="0" w:firstLine="0" w:left="0"/>
              <w:jc w:val="left"/>
              <w:rPr>
                <w:rFonts w:ascii="Arial" w:hAnsi="Arial" w:cs="Arial"/>
                <w:sz w:val="20"/>
                <w:szCs w:val="20"/>
              </w:rPr>
            </w:pPr>
            <w:r>
              <w:rPr>
                <w:rFonts w:ascii="Arial" w:hAnsi="Arial" w:eastAsia="Arial" w:cs="Arial"/>
                <w:color w:val="000000"/>
                <w:sz w:val="20"/>
                <w:szCs w:val="20"/>
              </w:rPr>
              <w:t xml:space="preserve">Consultar </w:t>
            </w:r>
            <w:hyperlink r:id="rId26" w:tooltip="https://github.com/NWOOD777/SIGET/tree/cb65f419e38a43e73a9d1b96d68d0bd041df5cb3/Fase%202/Evidencias%20Proyecto/Evidencias%20de%20documentaci%C3%B3n/Scrum" w:history="1">
              <w:r>
                <w:rPr>
                  <w:rFonts w:ascii="Arial" w:hAnsi="Arial" w:eastAsia="Arial" w:cs="Arial"/>
                  <w:color w:val="0563c1"/>
                  <w:sz w:val="20"/>
                  <w:szCs w:val="20"/>
                  <w:u w:val="single"/>
                </w:rPr>
                <w:t xml:space="preserve">Seguimiento Scrum</w:t>
              </w:r>
            </w:hyperlink>
            <w:r>
              <w:rPr>
                <w:rFonts w:ascii="Arial" w:hAnsi="Arial" w:eastAsia="Arial" w:cs="Arial"/>
                <w:color w:val="000000"/>
                <w:sz w:val="20"/>
                <w:szCs w:val="20"/>
                <w:highlight w:val="none"/>
                <w:lang w:val="es-ES"/>
              </w:rPr>
            </w:r>
            <w:r>
              <w:rPr>
                <w:rFonts w:ascii="Arial" w:hAnsi="Arial" w:eastAsia="Arial" w:cs="Arial"/>
                <w:sz w:val="20"/>
                <w:szCs w:val="20"/>
              </w:rPr>
            </w:r>
          </w:p>
        </w:tc>
      </w:tr>
      <w:tr>
        <w:trPr/>
        <w:tc>
          <w:tcPr>
            <w:tcBorders/>
            <w:tcW w:w="3001" w:type="dxa"/>
            <w:vAlign w:val="center"/>
          </w:tcPr>
          <w:p w14:paraId="0D5B9BFB" w14:textId="2DAFF7F0">
            <w:pPr>
              <w:spacing/>
              <w:ind/>
              <w:rPr>
                <w:rFonts w:ascii="Arial" w:hAnsi="Arial" w:cs="Arial"/>
                <w:color w:val="1f3864" w:themeColor="accent1" w:themeShade="80"/>
                <w:sz w:val="18"/>
                <w:szCs w:val="18"/>
              </w:rPr>
            </w:pPr>
            <w:r>
              <w:rPr>
                <w:rFonts w:ascii="Arial" w:hAnsi="Arial" w:eastAsia="Arial" w:cs="Arial"/>
                <w:color w:val="1f3864" w:themeColor="accent1" w:themeShade="80"/>
                <w:sz w:val="18"/>
                <w:szCs w:val="18"/>
              </w:rPr>
              <w:t xml:space="preserve">6</w:t>
            </w:r>
            <w:r>
              <w:rPr>
                <w:rFonts w:ascii="Arial" w:hAnsi="Arial" w:eastAsia="Arial" w:cs="Arial"/>
                <w:color w:val="1f3864" w:themeColor="accent1" w:themeShade="80"/>
                <w:sz w:val="18"/>
                <w:szCs w:val="18"/>
              </w:rPr>
              <w:t xml:space="preserve">. </w:t>
            </w:r>
            <w:r>
              <w:rPr>
                <w:rFonts w:ascii="Arial" w:hAnsi="Arial" w:eastAsia="Arial" w:cs="Arial"/>
                <w:color w:val="1f3864" w:themeColor="accent1" w:themeShade="80"/>
                <w:sz w:val="18"/>
                <w:szCs w:val="18"/>
              </w:rPr>
              <w:t xml:space="preserve">Intereses </w:t>
            </w:r>
            <w:r>
              <w:rPr>
                <w:rFonts w:ascii="Arial" w:hAnsi="Arial" w:eastAsia="Arial" w:cs="Arial"/>
                <w:color w:val="1f3864" w:themeColor="accent1" w:themeShade="80"/>
                <w:sz w:val="18"/>
                <w:szCs w:val="18"/>
              </w:rPr>
              <w:t xml:space="preserve">y proyecciones</w:t>
            </w:r>
            <w:r>
              <w:rPr>
                <w:rFonts w:ascii="Arial" w:hAnsi="Arial" w:eastAsia="Arial" w:cs="Arial"/>
                <w:color w:val="1f3864" w:themeColor="accent1" w:themeShade="80"/>
                <w:sz w:val="18"/>
                <w:szCs w:val="18"/>
              </w:rPr>
              <w:t xml:space="preserve"> profesionales</w:t>
            </w:r>
            <w:r>
              <w:rPr>
                <w:rFonts w:ascii="Arial" w:hAnsi="Arial" w:eastAsia="Arial" w:cs="Arial"/>
                <w:color w:val="1f3864" w:themeColor="accent1" w:themeShade="80"/>
                <w:sz w:val="18"/>
                <w:szCs w:val="18"/>
              </w:rPr>
            </w:r>
          </w:p>
        </w:tc>
        <w:tc>
          <w:tcPr>
            <w:tcBorders/>
            <w:tcMar>
              <w:top w:w="65" w:type="dxa"/>
              <w:bottom w:w="65" w:type="dxa"/>
            </w:tcMar>
            <w:tcW w:w="6780" w:type="dxa"/>
            <w:vAlign w:val="top"/>
          </w:tcPr>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El trabajo realizado mantiene las líneas de interés profesional declaradas al inicio: desarrollo d</w:t>
            </w:r>
            <w:r>
              <w:rPr>
                <w:rFonts w:ascii="Arial" w:hAnsi="Arial" w:eastAsia="Arial" w:cs="Arial"/>
                <w:color w:val="000000"/>
                <w:sz w:val="20"/>
                <w:szCs w:val="20"/>
              </w:rPr>
              <w:t xml:space="preserve">e software, modelamiento de datos, integración de sistemas, seguridad y calidad. La vinculación entre inventario y soporte permitió abordar una necesidad de las áreas TI y relacionar los requerimientos con reglas que deben sostenerse durante todo el flujo.</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La experiencia con las asignaciones y devoluciones muestra la necesidad de diseñar transacciones, co</w:t>
            </w:r>
            <w:r>
              <w:rPr>
                <w:rFonts w:ascii="Arial" w:hAnsi="Arial" w:eastAsia="Arial" w:cs="Arial"/>
                <w:color w:val="000000"/>
                <w:sz w:val="20"/>
                <w:szCs w:val="20"/>
              </w:rPr>
              <w:t xml:space="preserve">ntrolar permisos y verificar que las fallas no dejen registros parciales. La resolución de conflictos de integración también refuerza la importancia de coordinar cambios, revisar el código compartido y conservar pruebas que permitan comprobar su resultado.</w:t>
            </w:r>
            <w:r>
              <w:rPr>
                <w:rFonts w:ascii="Arial" w:hAnsi="Arial" w:eastAsia="Arial" w:cs="Arial"/>
              </w:rPr>
            </w:r>
          </w:p>
          <w:p>
            <w:pPr>
              <w:pStyle w:val="766"/>
              <w:keepNext w:val="false"/>
              <w:keepLines w:val="true"/>
              <w:widowControl w:val="true"/>
              <w:spacing w:after="100" w:before="0" w:line="259" w:lineRule="auto"/>
              <w:ind w:right="0" w:firstLine="0" w:left="0"/>
              <w:jc w:val="left"/>
              <w:rPr>
                <w:rFonts w:ascii="Arial" w:hAnsi="Arial" w:cs="Arial"/>
              </w:rPr>
            </w:pPr>
            <w:r>
              <w:rPr>
                <w:rFonts w:ascii="Arial" w:hAnsi="Arial" w:eastAsia="Arial" w:cs="Arial"/>
                <w:color w:val="000000"/>
                <w:sz w:val="20"/>
                <w:szCs w:val="20"/>
              </w:rPr>
              <w:t xml:space="preserve">Como proyección del equipo, se busca profundizar en desarrollo backend, integración de servicios, arquitectura cliente-servidor y prácticas de pruebas y seguri</w:t>
            </w:r>
            <w:r>
              <w:rPr>
                <w:rFonts w:ascii="Arial" w:hAnsi="Arial" w:eastAsia="Arial" w:cs="Arial"/>
                <w:color w:val="000000"/>
                <w:sz w:val="20"/>
                <w:szCs w:val="20"/>
              </w:rPr>
              <w:t xml:space="preserve">dad. Las siguientes iteraciones permitirán ampliar esta experiencia con PySide6 y los procesos de taller. La valoración definitiva de los aprendizajes y las proyecciones individuales corresponde al cierre del proyecto y a las evidencias de cada integrante.</w:t>
            </w:r>
            <w:r>
              <w:rPr>
                <w:rFonts w:ascii="Arial" w:hAnsi="Arial" w:eastAsia="Arial" w:cs="Arial"/>
              </w:rPr>
            </w:r>
          </w:p>
        </w:tc>
      </w:tr>
    </w:tbl>
    <w:p w14:paraId="613BE5DD" w14:textId="77777777">
      <w:pPr>
        <w:keepNext w:val="true"/>
        <w:spacing w:after="0" w:before="0" w:line="80" w:lineRule="exact"/>
        <w:ind/>
        <w:rPr>
          <w:rFonts w:ascii="Arial" w:hAnsi="Arial" w:cs="Arial"/>
        </w:rPr>
      </w:pPr>
      <w:r>
        <w:rPr>
          <w:rFonts w:ascii="Arial" w:hAnsi="Arial" w:eastAsia="Arial" w:cs="Arial"/>
          <w:color w:val="000000"/>
          <w:sz w:val="8"/>
          <w:szCs w:val="8"/>
        </w:rPr>
      </w:r>
      <w:r>
        <w:rPr>
          <w:rFonts w:ascii="Arial" w:hAnsi="Arial" w:eastAsia="Arial" w:cs="Arial"/>
        </w:rPr>
      </w:r>
    </w:p>
    <w:p w14:paraId="0D9A87A2" w14:textId="7C52010E">
      <w:pPr>
        <w:keepNext w:val="true"/>
        <w:spacing w:after="0" w:before="0" w:line="80" w:lineRule="exact"/>
        <w:ind/>
        <w:rPr>
          <w:rFonts w:ascii="Arial" w:hAnsi="Arial" w:cs="Arial"/>
        </w:rPr>
      </w:pPr>
      <w:r>
        <w:rPr>
          <w:rFonts w:ascii="Arial" w:hAnsi="Arial" w:eastAsia="Arial" w:cs="Arial"/>
          <w:color w:val="000000"/>
          <w:sz w:val="8"/>
          <w:szCs w:val="8"/>
        </w:rPr>
      </w:r>
      <w:r>
        <w:rPr>
          <w:rFonts w:ascii="Arial" w:hAnsi="Arial" w:eastAsia="Arial" w:cs="Arial"/>
        </w:rPr>
      </w:r>
    </w:p>
    <w:p w14:paraId="70FF608E" w14:textId="77777777">
      <w:pPr>
        <w:keepNext w:val="true"/>
        <w:spacing w:after="0" w:before="0" w:line="80" w:lineRule="exact"/>
        <w:ind/>
        <w:rPr>
          <w:rFonts w:ascii="Arial" w:hAnsi="Arial" w:cs="Arial"/>
        </w:rPr>
      </w:pPr>
      <w:r>
        <w:rPr>
          <w:rFonts w:ascii="Arial" w:hAnsi="Arial" w:eastAsia="Arial" w:cs="Arial"/>
          <w:color w:val="000000"/>
          <w:sz w:val="8"/>
          <w:szCs w:val="8"/>
        </w:rPr>
      </w:r>
      <w:r>
        <w:rPr>
          <w:rFonts w:ascii="Arial" w:hAnsi="Arial" w:eastAsia="Arial" w:cs="Arial"/>
        </w:rPr>
      </w:r>
    </w:p>
    <w:p w14:paraId="44C057E5" w14:textId="77777777">
      <w:pPr>
        <w:keepNext w:val="true"/>
        <w:spacing w:after="0" w:before="0" w:line="80" w:lineRule="exact"/>
        <w:ind/>
        <w:rPr>
          <w:rFonts w:ascii="Arial" w:hAnsi="Arial" w:cs="Arial"/>
        </w:rPr>
      </w:pPr>
      <w:r>
        <w:rPr>
          <w:rFonts w:ascii="Arial" w:hAnsi="Arial" w:eastAsia="Arial" w:cs="Arial"/>
          <w:color w:val="000000"/>
          <w:sz w:val="8"/>
          <w:szCs w:val="8"/>
        </w:rPr>
      </w:r>
      <w:r>
        <w:rPr>
          <w:rFonts w:ascii="Arial" w:hAnsi="Arial" w:eastAsia="Arial" w:cs="Arial"/>
        </w:rP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30DD6A90" w14:textId="77777777">
      <w:pPr>
        <w:spacing w:after="0" w:line="240" w:lineRule="auto"/>
        <w:ind/>
        <w:rPr/>
      </w:pPr>
      <w:r>
        <w:separator/>
      </w:r>
      <w:r/>
    </w:p>
  </w:endnote>
  <w:endnote w:type="continuationSeparator" w:id="0">
    <w:p w14:paraId="7AC13F57" w14:textId="77777777">
      <w:pP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Gothic">
    <w:panose1 w:val="020B0503020204020204"/>
  </w:font>
  <w:font w:name="Symbol">
    <w:panose1 w:val="05050102010706020507"/>
  </w:font>
  <w:font w:name="Wingdings">
    <w:panose1 w:val="05000000000000000000"/>
  </w:font>
  <w:font w:name="Courier New">
    <w:panose1 w:val="02070309020205020404"/>
  </w:font>
  <w:font w:name="Times New Roman">
    <w:panose1 w:val="02020603050405020304"/>
  </w:font>
  <w:font w:name="Segoe UI">
    <w:panose1 w:val="020B05020402040202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BF11426" w14:textId="77777777">
      <w:pPr>
        <w:spacing w:after="0" w:line="240" w:lineRule="auto"/>
        <w:ind/>
        <w:rPr/>
      </w:pPr>
      <w:r>
        <w:separator/>
      </w:r>
      <w:r/>
    </w:p>
  </w:footnote>
  <w:footnote w:type="continuationSeparator" w:id="0">
    <w:p w14:paraId="2AEF6ED6" w14:textId="77777777">
      <w:pP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79"/>
      <w:tblInd w:w="-709" w:type="dxa"/>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cPr>
        <w:p w14:paraId="11A13BC6" w14:textId="396135DB">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Informe Final</w:t>
          </w:r>
          <w:r>
            <w:rPr>
              <w:rFonts w:ascii="Century Gothic" w:hAnsi="Century Gothic" w:eastAsia="Century Gothic" w:cs="Century Gothic"/>
              <w:b/>
              <w:color w:val="1d2763"/>
              <w:sz w:val="24"/>
              <w:szCs w:val="24"/>
            </w:rPr>
            <w:t xml:space="preserve"> Proyecto 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14:paraId="717ECB8E" w14:textId="1B023F56">
          <w:pP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cPr>
        <w:p w14:paraId="2854025F" w14:textId="77777777">
          <w:pP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rotWithShape="1">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alt="http://www.duoc.cl/normasgraficas/normasgraficas/marca-duoc/6logo-fondo-transparente/fondo-transparente.png"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14:paraId="56968411" w14:textId="77777777">
    <w:pPr>
      <w:pStyle w:val="777"/>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284468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2">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3">
    <w:nsid w:val="51D05305"/>
    <w:lvl w:ilvl="0">
      <w:isLgl w:val="false"/>
      <w:lvlJc w:val="left"/>
      <w:lvlText w:val="-"/>
      <w:numFmt w:val="bullet"/>
      <w:pPr>
        <w:pBdr/>
        <w:spacing/>
        <w:ind w:hanging="360" w:left="720"/>
      </w:pPr>
      <w:rPr>
        <w:rFonts w:hint="default" w:ascii="Times New Roman" w:hAnsi="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664948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731E1176"/>
    <w:lvl w:ilvl="0">
      <w:isLgl w:val="false"/>
      <w:lvlJc w:val="left"/>
      <w:lvlText w:val="%1."/>
      <w:numFmt w:val="upperRoman"/>
      <w:pPr>
        <w:pBdr/>
        <w:spacing/>
        <w:ind w:hanging="720" w:left="108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7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7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7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66"/>
    <w:next w:val="7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66"/>
    <w:next w:val="7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66"/>
    <w:next w:val="7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66"/>
    <w:next w:val="7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66"/>
    <w:next w:val="7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6"/>
    <w:next w:val="7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6"/>
    <w:next w:val="7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6"/>
    <w:next w:val="7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6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6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68"/>
    <w:link w:val="767"/>
    <w:uiPriority w:val="9"/>
    <w:pPr>
      <w:pBdr/>
      <w:spacing/>
      <w:ind/>
    </w:pPr>
    <w:rPr>
      <w:rFonts w:ascii="Arial" w:hAnsi="Arial" w:eastAsia="Arial" w:cs="Arial"/>
      <w:color w:val="0f4761" w:themeColor="accent1" w:themeShade="BF"/>
      <w:sz w:val="28"/>
      <w:szCs w:val="28"/>
    </w:rPr>
  </w:style>
  <w:style w:type="character" w:styleId="153">
    <w:name w:val="Heading 4 Char"/>
    <w:basedOn w:val="768"/>
    <w:link w:val="142"/>
    <w:uiPriority w:val="9"/>
    <w:pPr>
      <w:pBdr/>
      <w:spacing/>
      <w:ind/>
    </w:pPr>
    <w:rPr>
      <w:rFonts w:ascii="Arial" w:hAnsi="Arial" w:eastAsia="Arial" w:cs="Arial"/>
      <w:i/>
      <w:iCs/>
      <w:color w:val="0f4761" w:themeColor="accent1" w:themeShade="BF"/>
    </w:rPr>
  </w:style>
  <w:style w:type="character" w:styleId="154">
    <w:name w:val="Heading 5 Char"/>
    <w:basedOn w:val="768"/>
    <w:link w:val="143"/>
    <w:uiPriority w:val="9"/>
    <w:pPr>
      <w:pBdr/>
      <w:spacing/>
      <w:ind/>
    </w:pPr>
    <w:rPr>
      <w:rFonts w:ascii="Arial" w:hAnsi="Arial" w:eastAsia="Arial" w:cs="Arial"/>
      <w:color w:val="0f4761" w:themeColor="accent1" w:themeShade="BF"/>
    </w:rPr>
  </w:style>
  <w:style w:type="character" w:styleId="155">
    <w:name w:val="Heading 6 Char"/>
    <w:basedOn w:val="768"/>
    <w:link w:val="144"/>
    <w:uiPriority w:val="9"/>
    <w:pPr>
      <w:pBdr/>
      <w:spacing/>
      <w:ind/>
    </w:pPr>
    <w:rPr>
      <w:rFonts w:ascii="Arial" w:hAnsi="Arial" w:eastAsia="Arial" w:cs="Arial"/>
      <w:i/>
      <w:iCs/>
      <w:color w:val="595959" w:themeColor="text1" w:themeTint="A6"/>
    </w:rPr>
  </w:style>
  <w:style w:type="character" w:styleId="156">
    <w:name w:val="Heading 7 Char"/>
    <w:basedOn w:val="768"/>
    <w:link w:val="145"/>
    <w:uiPriority w:val="9"/>
    <w:pPr>
      <w:pBdr/>
      <w:spacing/>
      <w:ind/>
    </w:pPr>
    <w:rPr>
      <w:rFonts w:ascii="Arial" w:hAnsi="Arial" w:eastAsia="Arial" w:cs="Arial"/>
      <w:color w:val="595959" w:themeColor="text1" w:themeTint="A6"/>
    </w:rPr>
  </w:style>
  <w:style w:type="character" w:styleId="157">
    <w:name w:val="Heading 8 Char"/>
    <w:basedOn w:val="768"/>
    <w:link w:val="146"/>
    <w:uiPriority w:val="9"/>
    <w:pPr>
      <w:pBdr/>
      <w:spacing/>
      <w:ind/>
    </w:pPr>
    <w:rPr>
      <w:rFonts w:ascii="Arial" w:hAnsi="Arial" w:eastAsia="Arial" w:cs="Arial"/>
      <w:i/>
      <w:iCs/>
      <w:color w:val="272727" w:themeColor="text1" w:themeTint="D8"/>
    </w:rPr>
  </w:style>
  <w:style w:type="character" w:styleId="158">
    <w:name w:val="Heading 9 Char"/>
    <w:basedOn w:val="768"/>
    <w:link w:val="147"/>
    <w:uiPriority w:val="9"/>
    <w:pPr>
      <w:pBdr/>
      <w:spacing/>
      <w:ind/>
    </w:pPr>
    <w:rPr>
      <w:rFonts w:ascii="Arial" w:hAnsi="Arial" w:eastAsia="Arial" w:cs="Arial"/>
      <w:i/>
      <w:iCs/>
      <w:color w:val="272727" w:themeColor="text1" w:themeTint="D8"/>
    </w:rPr>
  </w:style>
  <w:style w:type="paragraph" w:styleId="159">
    <w:name w:val="Title"/>
    <w:basedOn w:val="766"/>
    <w:next w:val="7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68"/>
    <w:link w:val="159"/>
    <w:uiPriority w:val="10"/>
    <w:pPr>
      <w:pBdr/>
      <w:spacing/>
      <w:ind/>
    </w:pPr>
    <w:rPr>
      <w:rFonts w:ascii="Arial" w:hAnsi="Arial" w:eastAsia="Arial" w:cs="Arial"/>
      <w:spacing w:val="-10"/>
      <w:sz w:val="56"/>
      <w:szCs w:val="56"/>
    </w:rPr>
  </w:style>
  <w:style w:type="paragraph" w:styleId="161">
    <w:name w:val="Subtitle"/>
    <w:basedOn w:val="766"/>
    <w:next w:val="766"/>
    <w:link w:val="162"/>
    <w:uiPriority w:val="11"/>
    <w:qFormat/>
    <w:pPr>
      <w:numPr>
        <w:ilvl w:val="1"/>
      </w:numPr>
      <w:pBdr/>
      <w:spacing/>
      <w:ind/>
    </w:pPr>
    <w:rPr>
      <w:color w:val="595959" w:themeColor="text1" w:themeTint="A6"/>
      <w:spacing w:val="15"/>
      <w:sz w:val="28"/>
      <w:szCs w:val="28"/>
    </w:rPr>
  </w:style>
  <w:style w:type="character" w:styleId="162">
    <w:name w:val="Subtitle Char"/>
    <w:basedOn w:val="768"/>
    <w:link w:val="161"/>
    <w:uiPriority w:val="11"/>
    <w:pPr>
      <w:pBdr/>
      <w:spacing/>
      <w:ind/>
    </w:pPr>
    <w:rPr>
      <w:color w:val="595959" w:themeColor="text1" w:themeTint="A6"/>
      <w:spacing w:val="15"/>
      <w:sz w:val="28"/>
      <w:szCs w:val="28"/>
    </w:rPr>
  </w:style>
  <w:style w:type="paragraph" w:styleId="163">
    <w:name w:val="Quote"/>
    <w:basedOn w:val="766"/>
    <w:next w:val="766"/>
    <w:link w:val="164"/>
    <w:uiPriority w:val="29"/>
    <w:qFormat/>
    <w:pPr>
      <w:pBdr/>
      <w:spacing w:before="160"/>
      <w:ind/>
      <w:jc w:val="center"/>
    </w:pPr>
    <w:rPr>
      <w:i/>
      <w:iCs/>
      <w:color w:val="404040" w:themeColor="text1" w:themeTint="BF"/>
    </w:rPr>
  </w:style>
  <w:style w:type="character" w:styleId="164">
    <w:name w:val="Quote Char"/>
    <w:basedOn w:val="768"/>
    <w:link w:val="163"/>
    <w:uiPriority w:val="29"/>
    <w:pPr>
      <w:pBdr/>
      <w:spacing/>
      <w:ind/>
    </w:pPr>
    <w:rPr>
      <w:i/>
      <w:iCs/>
      <w:color w:val="404040" w:themeColor="text1" w:themeTint="BF"/>
    </w:rPr>
  </w:style>
  <w:style w:type="character" w:styleId="166">
    <w:name w:val="Intense Emphasis"/>
    <w:basedOn w:val="768"/>
    <w:uiPriority w:val="21"/>
    <w:qFormat/>
    <w:pPr>
      <w:pBdr/>
      <w:spacing/>
      <w:ind/>
    </w:pPr>
    <w:rPr>
      <w:i/>
      <w:iCs/>
      <w:color w:val="0f4761" w:themeColor="accent1" w:themeShade="BF"/>
    </w:rPr>
  </w:style>
  <w:style w:type="paragraph" w:styleId="167">
    <w:name w:val="Intense Quote"/>
    <w:basedOn w:val="766"/>
    <w:next w:val="7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68"/>
    <w:link w:val="167"/>
    <w:uiPriority w:val="30"/>
    <w:pPr>
      <w:pBdr/>
      <w:spacing/>
      <w:ind/>
    </w:pPr>
    <w:rPr>
      <w:i/>
      <w:iCs/>
      <w:color w:val="0f4761" w:themeColor="accent1" w:themeShade="BF"/>
    </w:rPr>
  </w:style>
  <w:style w:type="character" w:styleId="169">
    <w:name w:val="Intense Reference"/>
    <w:basedOn w:val="768"/>
    <w:uiPriority w:val="32"/>
    <w:qFormat/>
    <w:pPr>
      <w:pBdr/>
      <w:spacing/>
      <w:ind/>
    </w:pPr>
    <w:rPr>
      <w:b/>
      <w:bCs/>
      <w:smallCaps/>
      <w:color w:val="0f4761" w:themeColor="accent1" w:themeShade="BF"/>
      <w:spacing w:val="5"/>
    </w:rPr>
  </w:style>
  <w:style w:type="paragraph" w:styleId="170">
    <w:name w:val="No Spacing"/>
    <w:basedOn w:val="766"/>
    <w:uiPriority w:val="1"/>
    <w:qFormat/>
    <w:pPr>
      <w:pBdr/>
      <w:spacing w:after="0" w:line="240" w:lineRule="auto"/>
      <w:ind/>
    </w:pPr>
  </w:style>
  <w:style w:type="character" w:styleId="171">
    <w:name w:val="Subtle Emphasis"/>
    <w:basedOn w:val="768"/>
    <w:uiPriority w:val="19"/>
    <w:qFormat/>
    <w:pPr>
      <w:pBdr/>
      <w:spacing/>
      <w:ind/>
    </w:pPr>
    <w:rPr>
      <w:i/>
      <w:iCs/>
      <w:color w:val="404040" w:themeColor="text1" w:themeTint="BF"/>
    </w:rPr>
  </w:style>
  <w:style w:type="character" w:styleId="172">
    <w:name w:val="Emphasis"/>
    <w:basedOn w:val="768"/>
    <w:uiPriority w:val="20"/>
    <w:qFormat/>
    <w:pPr>
      <w:pBdr/>
      <w:spacing/>
      <w:ind/>
    </w:pPr>
    <w:rPr>
      <w:i/>
      <w:iCs/>
    </w:rPr>
  </w:style>
  <w:style w:type="character" w:styleId="173">
    <w:name w:val="Strong"/>
    <w:basedOn w:val="768"/>
    <w:uiPriority w:val="22"/>
    <w:qFormat/>
    <w:pPr>
      <w:pBdr/>
      <w:spacing/>
      <w:ind/>
    </w:pPr>
    <w:rPr>
      <w:b/>
      <w:bCs/>
    </w:rPr>
  </w:style>
  <w:style w:type="character" w:styleId="174">
    <w:name w:val="Subtle Reference"/>
    <w:basedOn w:val="768"/>
    <w:uiPriority w:val="31"/>
    <w:qFormat/>
    <w:pPr>
      <w:pBdr/>
      <w:spacing/>
      <w:ind/>
    </w:pPr>
    <w:rPr>
      <w:smallCaps/>
      <w:color w:val="5a5a5a" w:themeColor="text1" w:themeTint="A5"/>
    </w:rPr>
  </w:style>
  <w:style w:type="character" w:styleId="175">
    <w:name w:val="Book Title"/>
    <w:basedOn w:val="768"/>
    <w:uiPriority w:val="33"/>
    <w:qFormat/>
    <w:pPr>
      <w:pBdr/>
      <w:spacing/>
      <w:ind/>
    </w:pPr>
    <w:rPr>
      <w:b/>
      <w:bCs/>
      <w:i/>
      <w:iCs/>
      <w:spacing w:val="5"/>
    </w:rPr>
  </w:style>
  <w:style w:type="character" w:styleId="177">
    <w:name w:val="Header Char"/>
    <w:basedOn w:val="768"/>
    <w:link w:val="777"/>
    <w:uiPriority w:val="99"/>
    <w:pPr>
      <w:pBdr/>
      <w:spacing/>
      <w:ind/>
    </w:pPr>
  </w:style>
  <w:style w:type="character" w:styleId="179">
    <w:name w:val="Footer Char"/>
    <w:basedOn w:val="768"/>
    <w:link w:val="773"/>
    <w:uiPriority w:val="99"/>
    <w:pPr>
      <w:pBdr/>
      <w:spacing/>
      <w:ind/>
    </w:pPr>
  </w:style>
  <w:style w:type="paragraph" w:styleId="180">
    <w:name w:val="Caption"/>
    <w:basedOn w:val="766"/>
    <w:next w:val="766"/>
    <w:uiPriority w:val="35"/>
    <w:unhideWhenUsed/>
    <w:qFormat/>
    <w:pPr>
      <w:pBdr/>
      <w:spacing w:after="200" w:line="240" w:lineRule="auto"/>
      <w:ind/>
    </w:pPr>
    <w:rPr>
      <w:i/>
      <w:iCs/>
      <w:color w:val="0e2841" w:themeColor="text2"/>
      <w:sz w:val="18"/>
      <w:szCs w:val="18"/>
    </w:rPr>
  </w:style>
  <w:style w:type="paragraph" w:styleId="181">
    <w:name w:val="footnote text"/>
    <w:basedOn w:val="766"/>
    <w:link w:val="182"/>
    <w:uiPriority w:val="99"/>
    <w:semiHidden/>
    <w:unhideWhenUsed/>
    <w:pPr>
      <w:pBdr/>
      <w:spacing w:after="0" w:line="240" w:lineRule="auto"/>
      <w:ind/>
    </w:pPr>
    <w:rPr>
      <w:sz w:val="20"/>
      <w:szCs w:val="20"/>
    </w:rPr>
  </w:style>
  <w:style w:type="character" w:styleId="182">
    <w:name w:val="Footnote Text Char"/>
    <w:basedOn w:val="768"/>
    <w:link w:val="181"/>
    <w:uiPriority w:val="99"/>
    <w:semiHidden/>
    <w:pPr>
      <w:pBdr/>
      <w:spacing/>
      <w:ind/>
    </w:pPr>
    <w:rPr>
      <w:sz w:val="20"/>
      <w:szCs w:val="20"/>
    </w:rPr>
  </w:style>
  <w:style w:type="character" w:styleId="183">
    <w:name w:val="footnote reference"/>
    <w:basedOn w:val="768"/>
    <w:uiPriority w:val="99"/>
    <w:semiHidden/>
    <w:unhideWhenUsed/>
    <w:pPr>
      <w:pBdr/>
      <w:spacing/>
      <w:ind/>
    </w:pPr>
    <w:rPr>
      <w:vertAlign w:val="superscript"/>
    </w:rPr>
  </w:style>
  <w:style w:type="paragraph" w:styleId="184">
    <w:name w:val="endnote text"/>
    <w:basedOn w:val="766"/>
    <w:link w:val="185"/>
    <w:uiPriority w:val="99"/>
    <w:semiHidden/>
    <w:unhideWhenUsed/>
    <w:pPr>
      <w:pBdr/>
      <w:spacing w:after="0" w:line="240" w:lineRule="auto"/>
      <w:ind/>
    </w:pPr>
    <w:rPr>
      <w:sz w:val="20"/>
      <w:szCs w:val="20"/>
    </w:rPr>
  </w:style>
  <w:style w:type="character" w:styleId="185">
    <w:name w:val="Endnote Text Char"/>
    <w:basedOn w:val="768"/>
    <w:link w:val="184"/>
    <w:uiPriority w:val="99"/>
    <w:semiHidden/>
    <w:pPr>
      <w:pBdr/>
      <w:spacing/>
      <w:ind/>
    </w:pPr>
    <w:rPr>
      <w:sz w:val="20"/>
      <w:szCs w:val="20"/>
    </w:rPr>
  </w:style>
  <w:style w:type="character" w:styleId="186">
    <w:name w:val="endnote reference"/>
    <w:basedOn w:val="768"/>
    <w:uiPriority w:val="99"/>
    <w:semiHidden/>
    <w:unhideWhenUsed/>
    <w:pPr>
      <w:pBdr/>
      <w:spacing/>
      <w:ind/>
    </w:pPr>
    <w:rPr>
      <w:vertAlign w:val="superscript"/>
    </w:rPr>
  </w:style>
  <w:style w:type="character" w:styleId="187">
    <w:name w:val="Hyperlink"/>
    <w:basedOn w:val="768"/>
    <w:uiPriority w:val="99"/>
    <w:unhideWhenUsed/>
    <w:pPr>
      <w:pBdr/>
      <w:spacing/>
      <w:ind/>
    </w:pPr>
    <w:rPr>
      <w:color w:val="0563c1" w:themeColor="hyperlink"/>
      <w:u w:val="single"/>
    </w:rPr>
  </w:style>
  <w:style w:type="character" w:styleId="188">
    <w:name w:val="FollowedHyperlink"/>
    <w:basedOn w:val="768"/>
    <w:uiPriority w:val="99"/>
    <w:semiHidden/>
    <w:unhideWhenUsed/>
    <w:pPr>
      <w:pBdr/>
      <w:spacing/>
      <w:ind/>
    </w:pPr>
    <w:rPr>
      <w:color w:val="954f72" w:themeColor="followedHyperlink"/>
      <w:u w:val="single"/>
    </w:rPr>
  </w:style>
  <w:style w:type="paragraph" w:styleId="189">
    <w:name w:val="toc 1"/>
    <w:basedOn w:val="766"/>
    <w:next w:val="766"/>
    <w:uiPriority w:val="39"/>
    <w:unhideWhenUsed/>
    <w:pPr>
      <w:pBdr/>
      <w:spacing w:after="100"/>
      <w:ind/>
    </w:pPr>
  </w:style>
  <w:style w:type="paragraph" w:styleId="190">
    <w:name w:val="toc 2"/>
    <w:basedOn w:val="766"/>
    <w:next w:val="766"/>
    <w:uiPriority w:val="39"/>
    <w:unhideWhenUsed/>
    <w:pPr>
      <w:pBdr/>
      <w:spacing w:after="100"/>
      <w:ind w:left="220"/>
    </w:pPr>
  </w:style>
  <w:style w:type="paragraph" w:styleId="191">
    <w:name w:val="toc 3"/>
    <w:basedOn w:val="766"/>
    <w:next w:val="766"/>
    <w:uiPriority w:val="39"/>
    <w:unhideWhenUsed/>
    <w:pPr>
      <w:pBdr/>
      <w:spacing w:after="100"/>
      <w:ind w:left="440"/>
    </w:pPr>
  </w:style>
  <w:style w:type="paragraph" w:styleId="192">
    <w:name w:val="toc 4"/>
    <w:basedOn w:val="766"/>
    <w:next w:val="766"/>
    <w:uiPriority w:val="39"/>
    <w:unhideWhenUsed/>
    <w:pPr>
      <w:pBdr/>
      <w:spacing w:after="100"/>
      <w:ind w:left="660"/>
    </w:pPr>
  </w:style>
  <w:style w:type="paragraph" w:styleId="193">
    <w:name w:val="toc 5"/>
    <w:basedOn w:val="766"/>
    <w:next w:val="766"/>
    <w:uiPriority w:val="39"/>
    <w:unhideWhenUsed/>
    <w:pPr>
      <w:pBdr/>
      <w:spacing w:after="100"/>
      <w:ind w:left="880"/>
    </w:pPr>
  </w:style>
  <w:style w:type="paragraph" w:styleId="194">
    <w:name w:val="toc 6"/>
    <w:basedOn w:val="766"/>
    <w:next w:val="766"/>
    <w:uiPriority w:val="39"/>
    <w:unhideWhenUsed/>
    <w:pPr>
      <w:pBdr/>
      <w:spacing w:after="100"/>
      <w:ind w:left="1100"/>
    </w:pPr>
  </w:style>
  <w:style w:type="paragraph" w:styleId="195">
    <w:name w:val="toc 7"/>
    <w:basedOn w:val="766"/>
    <w:next w:val="766"/>
    <w:uiPriority w:val="39"/>
    <w:unhideWhenUsed/>
    <w:pPr>
      <w:pBdr/>
      <w:spacing w:after="100"/>
      <w:ind w:left="1320"/>
    </w:pPr>
  </w:style>
  <w:style w:type="paragraph" w:styleId="196">
    <w:name w:val="toc 8"/>
    <w:basedOn w:val="766"/>
    <w:next w:val="766"/>
    <w:uiPriority w:val="39"/>
    <w:unhideWhenUsed/>
    <w:pPr>
      <w:pBdr/>
      <w:spacing w:after="100"/>
      <w:ind w:left="1540"/>
    </w:pPr>
  </w:style>
  <w:style w:type="paragraph" w:styleId="197">
    <w:name w:val="toc 9"/>
    <w:basedOn w:val="766"/>
    <w:next w:val="766"/>
    <w:uiPriority w:val="39"/>
    <w:unhideWhenUsed/>
    <w:pPr>
      <w:pBdr/>
      <w:spacing w:after="100"/>
      <w:ind w:left="1760"/>
    </w:pPr>
  </w:style>
  <w:style w:type="character" w:styleId="198">
    <w:name w:val="Placeholder Text"/>
    <w:basedOn w:val="76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6"/>
    <w:next w:val="766"/>
    <w:uiPriority w:val="99"/>
    <w:unhideWhenUsed/>
    <w:pPr>
      <w:pBdr/>
      <w:spacing w:after="0" w:afterAutospacing="0"/>
      <w:ind/>
    </w:pPr>
  </w:style>
  <w:style w:type="paragraph" w:styleId="766" w:default="1">
    <w:name w:val="Normal"/>
    <w:qFormat/>
    <w:pPr>
      <w:pBdr/>
      <w:spacing w:after="160" w:line="259" w:lineRule="auto"/>
      <w:ind/>
    </w:pPr>
    <w:rPr>
      <w:sz w:val="22"/>
      <w:szCs w:val="22"/>
    </w:rPr>
  </w:style>
  <w:style w:type="paragraph" w:styleId="767">
    <w:name w:val="Heading 3"/>
    <w:basedOn w:val="766"/>
    <w:next w:val="766"/>
    <w:link w:val="771"/>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68" w:default="1">
    <w:name w:val="Default Paragraph Font"/>
    <w:uiPriority w:val="1"/>
    <w:semiHidden/>
    <w:unhideWhenUsed/>
    <w:pPr>
      <w:pBdr/>
      <w:spacing/>
      <w:ind/>
    </w:pPr>
  </w:style>
  <w:style w:type="table" w:styleId="7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0" w:default="1">
    <w:name w:val="No List"/>
    <w:uiPriority w:val="99"/>
    <w:semiHidden/>
    <w:unhideWhenUsed/>
    <w:pPr>
      <w:pBdr/>
      <w:spacing/>
      <w:ind/>
    </w:pPr>
  </w:style>
  <w:style w:type="character" w:styleId="771" w:customStyle="1">
    <w:name w:val="Título 3 Car"/>
    <w:basedOn w:val="768"/>
    <w:link w:val="767"/>
    <w:uiPriority w:val="9"/>
    <w:pPr>
      <w:pBdr/>
      <w:spacing/>
      <w:ind/>
    </w:pPr>
    <w:rPr>
      <w:rFonts w:asciiTheme="majorHAnsi" w:hAnsiTheme="majorHAnsi" w:eastAsiaTheme="majorEastAsia" w:cstheme="majorBidi"/>
      <w:color w:val="1f3763" w:themeColor="accent1" w:themeShade="7F"/>
    </w:rPr>
  </w:style>
  <w:style w:type="table" w:styleId="772">
    <w:name w:val="Table Grid"/>
    <w:basedOn w:val="769"/>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3">
    <w:name w:val="Footer"/>
    <w:basedOn w:val="766"/>
    <w:link w:val="774"/>
    <w:uiPriority w:val="99"/>
    <w:unhideWhenUsed/>
    <w:pPr>
      <w:pBdr/>
      <w:tabs>
        <w:tab w:val="center" w:leader="none" w:pos="4419"/>
        <w:tab w:val="right" w:leader="none" w:pos="8838"/>
      </w:tabs>
      <w:spacing w:after="0" w:line="240" w:lineRule="auto"/>
      <w:ind/>
    </w:pPr>
  </w:style>
  <w:style w:type="character" w:styleId="774" w:customStyle="1">
    <w:name w:val="Pie de página Car"/>
    <w:basedOn w:val="768"/>
    <w:link w:val="773"/>
    <w:uiPriority w:val="99"/>
    <w:pPr>
      <w:pBdr/>
      <w:spacing/>
      <w:ind/>
    </w:pPr>
    <w:rPr>
      <w:sz w:val="22"/>
      <w:szCs w:val="22"/>
    </w:rPr>
  </w:style>
  <w:style w:type="paragraph" w:styleId="775">
    <w:name w:val="List Paragraph"/>
    <w:basedOn w:val="766"/>
    <w:link w:val="776"/>
    <w:uiPriority w:val="34"/>
    <w:qFormat/>
    <w:pPr>
      <w:pBdr/>
      <w:spacing/>
      <w:ind w:left="720"/>
      <w:contextualSpacing w:val="true"/>
    </w:pPr>
  </w:style>
  <w:style w:type="character" w:styleId="776" w:customStyle="1">
    <w:name w:val="Párrafo de lista Car"/>
    <w:link w:val="775"/>
    <w:uiPriority w:val="34"/>
    <w:pPr>
      <w:pBdr/>
      <w:spacing/>
      <w:ind/>
    </w:pPr>
    <w:rPr>
      <w:sz w:val="22"/>
      <w:szCs w:val="22"/>
    </w:rPr>
  </w:style>
  <w:style w:type="paragraph" w:styleId="777">
    <w:name w:val="Header"/>
    <w:basedOn w:val="766"/>
    <w:link w:val="778"/>
    <w:uiPriority w:val="99"/>
    <w:unhideWhenUsed/>
    <w:pPr>
      <w:pBdr/>
      <w:tabs>
        <w:tab w:val="center" w:leader="none" w:pos="4419"/>
        <w:tab w:val="right" w:leader="none" w:pos="8838"/>
      </w:tabs>
      <w:spacing w:after="0" w:line="240" w:lineRule="auto"/>
      <w:ind/>
    </w:pPr>
  </w:style>
  <w:style w:type="character" w:styleId="778" w:customStyle="1">
    <w:name w:val="Encabezado Car"/>
    <w:basedOn w:val="768"/>
    <w:link w:val="777"/>
    <w:uiPriority w:val="99"/>
    <w:pPr>
      <w:pBdr/>
      <w:spacing/>
      <w:ind/>
    </w:pPr>
    <w:rPr>
      <w:sz w:val="22"/>
      <w:szCs w:val="22"/>
    </w:rPr>
  </w:style>
  <w:style w:type="table" w:styleId="779" w:customStyle="1">
    <w:name w:val="Tabla con cuadrícula1"/>
    <w:basedOn w:val="769"/>
    <w:next w:val="772"/>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0">
    <w:name w:val="annotation reference"/>
    <w:basedOn w:val="768"/>
    <w:uiPriority w:val="99"/>
    <w:semiHidden/>
    <w:unhideWhenUsed/>
    <w:pPr>
      <w:pBdr/>
      <w:spacing/>
      <w:ind/>
    </w:pPr>
    <w:rPr>
      <w:sz w:val="16"/>
      <w:szCs w:val="16"/>
    </w:rPr>
  </w:style>
  <w:style w:type="paragraph" w:styleId="781">
    <w:name w:val="annotation text"/>
    <w:basedOn w:val="766"/>
    <w:link w:val="782"/>
    <w:uiPriority w:val="99"/>
    <w:semiHidden/>
    <w:unhideWhenUsed/>
    <w:pPr>
      <w:pBdr/>
      <w:spacing w:line="240" w:lineRule="auto"/>
      <w:ind/>
    </w:pPr>
    <w:rPr>
      <w:sz w:val="20"/>
      <w:szCs w:val="20"/>
    </w:rPr>
  </w:style>
  <w:style w:type="character" w:styleId="782" w:customStyle="1">
    <w:name w:val="Texto comentario Car"/>
    <w:basedOn w:val="768"/>
    <w:link w:val="781"/>
    <w:uiPriority w:val="99"/>
    <w:semiHidden/>
    <w:pPr>
      <w:pBdr/>
      <w:spacing/>
      <w:ind/>
    </w:pPr>
    <w:rPr>
      <w:sz w:val="20"/>
      <w:szCs w:val="20"/>
    </w:rPr>
  </w:style>
  <w:style w:type="paragraph" w:styleId="783">
    <w:name w:val="annotation subject"/>
    <w:basedOn w:val="781"/>
    <w:next w:val="781"/>
    <w:link w:val="784"/>
    <w:uiPriority w:val="99"/>
    <w:semiHidden/>
    <w:unhideWhenUsed/>
    <w:pPr>
      <w:pBdr/>
      <w:spacing/>
      <w:ind/>
    </w:pPr>
    <w:rPr>
      <w:b/>
      <w:bCs/>
    </w:rPr>
  </w:style>
  <w:style w:type="character" w:styleId="784" w:customStyle="1">
    <w:name w:val="Asunto del comentario Car"/>
    <w:basedOn w:val="782"/>
    <w:link w:val="783"/>
    <w:uiPriority w:val="99"/>
    <w:semiHidden/>
    <w:pPr>
      <w:pBdr/>
      <w:spacing/>
      <w:ind/>
    </w:pPr>
    <w:rPr>
      <w:b/>
      <w:bCs/>
      <w:sz w:val="20"/>
      <w:szCs w:val="20"/>
    </w:rPr>
  </w:style>
  <w:style w:type="paragraph" w:styleId="785">
    <w:name w:val="Balloon Text"/>
    <w:basedOn w:val="766"/>
    <w:link w:val="786"/>
    <w:uiPriority w:val="99"/>
    <w:semiHidden/>
    <w:unhideWhenUsed/>
    <w:pPr>
      <w:pBdr/>
      <w:spacing w:after="0" w:line="240" w:lineRule="auto"/>
      <w:ind/>
    </w:pPr>
    <w:rPr>
      <w:rFonts w:ascii="Segoe UI" w:hAnsi="Segoe UI" w:cs="Segoe UI"/>
      <w:sz w:val="18"/>
      <w:szCs w:val="18"/>
    </w:rPr>
  </w:style>
  <w:style w:type="character" w:styleId="786" w:customStyle="1">
    <w:name w:val="Texto de globo Car"/>
    <w:basedOn w:val="768"/>
    <w:link w:val="785"/>
    <w:uiPriority w:val="99"/>
    <w:semiHidden/>
    <w:pPr>
      <w:pBdr/>
      <w:spacing/>
      <w:ind/>
    </w:pPr>
    <w:rPr>
      <w:rFonts w:ascii="Segoe UI" w:hAnsi="Segoe UI" w:cs="Segoe UI"/>
      <w:sz w:val="18"/>
      <w:szCs w:val="18"/>
    </w:rPr>
  </w:style>
  <w:style w:type="paragraph" w:styleId="787" w:customStyle="1">
    <w:name w:val="paragraph"/>
    <w:basedOn w:val="766"/>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788" w:customStyle="1">
    <w:name w:val="normaltextrun"/>
    <w:basedOn w:val="768"/>
    <w:pPr>
      <w:pBdr/>
      <w:spacing/>
      <w:ind/>
    </w:pPr>
  </w:style>
  <w:style w:type="character" w:styleId="789" w:customStyle="1">
    <w:name w:val="eop"/>
    <w:basedOn w:val="76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 Id="rId14" Type="http://schemas.openxmlformats.org/officeDocument/2006/relationships/hyperlink" Target="https://github.com/NWOOD777/SIGET/blob/cb65f419e38a43e73a9d1b96d68d0bd041df5cb3/Fase%201/Evidencias%20Grupales/1.5_GuiaEstudiante_Fase%201_Definicion%20Proyecto%20APT%20%28Espa%C3%B1ol%29.docx" TargetMode="External"/><Relationship Id="rId15" Type="http://schemas.openxmlformats.org/officeDocument/2006/relationships/hyperlink" Target="https://github.com/NWOOD777/SIGET/blob/cb65f419e38a43e73a9d1b96d68d0bd041df5cb3/Fase%202/Evidencias%20Proyecto/Evidencias%20de%20documentaci%C3%B3n/Documentaci%C3%B3n/Acta%20de%20Constituci%C3%B3n%20SIGET.docx" TargetMode="External"/><Relationship Id="rId16" Type="http://schemas.openxmlformats.org/officeDocument/2006/relationships/hyperlink" Target="https://github.com/NWOOD777/SIGET/blob/cb65f419e38a43e73a9d1b96d68d0bd041df5cb3/Fase%202/Evidencias%20Proyecto/Evidencias%20de%20documentaci%C3%B3n/Documentaci%C3%B3n/Product%20Backlog%20SIGET.xlsx" TargetMode="External"/><Relationship Id="rId17" Type="http://schemas.openxmlformats.org/officeDocument/2006/relationships/hyperlink" Target="https://github.com/NWOOD777/SIGET/blob/cb65f419e38a43e73a9d1b96d68d0bd041df5cb3/Fase%202/Evidencias%20Proyecto/Evidencias%20de%20documentaci%C3%B3n/Documentaci%C3%B3n/Historias%20de%20Usuario%20y%20criterios%20de%20aceptaci%C3%B3n%20SIGET.xlsx" TargetMode="External"/><Relationship Id="rId18" Type="http://schemas.openxmlformats.org/officeDocument/2006/relationships/hyperlink" Target="https://github.com/NWOOD777/SIGET/blob/cb65f419e38a43e73a9d1b96d68d0bd041df5cb3/Fase%202/Evidencias%20Proyecto/Evidencias%20de%20documentaci%C3%B3n/Arquitectura/Documento%20de%20Dise%C3%B1o%20y%20Arquitectura%20Preliminar%20SIGET.docx" TargetMode="External"/><Relationship Id="rId19" Type="http://schemas.openxmlformats.org/officeDocument/2006/relationships/hyperlink" Target="https://github.com/NWOOD777/SIGET/blob/cb65f419e38a43e73a9d1b96d68d0bd041df5cb3/Fase%202/Evidencias%20Proyecto/Evidencias%20de%20documentaci%C3%B3n/Modelo%20de%20Datos/diccionario%20de%20datos%20SIGET.xlsx" TargetMode="External"/><Relationship Id="rId20" Type="http://schemas.openxmlformats.org/officeDocument/2006/relationships/hyperlink" Target="https://github.com/NWOOD777/SIGET/blob/cb65f419e38a43e73a9d1b96d68d0bd041df5cb3/Fase%202/Evidencias%20Proyecto/Evidencias%20de%20sistema/Base%20de%20datos/init_siget_bd.sql" TargetMode="External"/><Relationship Id="rId21" Type="http://schemas.openxmlformats.org/officeDocument/2006/relationships/hyperlink" Target="https://github.com/NWOOD777/SIGET/blob/cb65f419e38a43e73a9d1b96d68d0bd041df5cb3/Fase%202/Evidencias%20Proyecto/Evidencias%20de%20sistema/Aplicaci%C3%B3n/API_DOCS.md" TargetMode="External"/><Relationship Id="rId22" Type="http://schemas.openxmlformats.org/officeDocument/2006/relationships/hyperlink" Target="https://github.com/NWOOD777/SIGET/blob/cb65f419e38a43e73a9d1b96d68d0bd041df5cb3/Fase%202/Evidencias%20Proyecto/Evidencias%20de%20sistema/Aplicaci%C3%B3n/README.md" TargetMode="External"/><Relationship Id="rId23" Type="http://schemas.openxmlformats.org/officeDocument/2006/relationships/hyperlink" Target="https://github.com/NWOOD777/SIGET/tree/cb65f419e38a43e73a9d1b96d68d0bd041df5cb3/Fase%202/Evidencias%20Proyecto/Evidencias%20de%20sistema/Aplicaci%C3%B3n/siget_web" TargetMode="External"/><Relationship Id="rId24" Type="http://schemas.openxmlformats.org/officeDocument/2006/relationships/hyperlink" Target="https://github.com/NWOOD777/SIGET/blob/cb65f419e38a43e73a9d1b96d68d0bd041df5cb3/Fase%202/Evidencias%20Proyecto/Evidencias%20de%20sistema/Aplicaci%C3%B3n/siget_web/asignaciones/tests/test_e3_h8_integracion_postgresql.py" TargetMode="External"/><Relationship Id="rId25" Type="http://schemas.openxmlformats.org/officeDocument/2006/relationships/hyperlink" Target="https://github.com/NWOOD777/SIGET/blob/cb65f419e38a43e73a9d1b96d68d0bd041df5cb3/Fase%202/Evidencias%20Proyecto/Evidencias%20de%20sistema/Aplicaci%C3%B3n/siget_web/asignaciones/tests/test_e4_h11_integracion_postgresql.py" TargetMode="External"/><Relationship Id="rId26" Type="http://schemas.openxmlformats.org/officeDocument/2006/relationships/hyperlink" Target="https://github.com/NWOOD777/SIGET/tree/cb65f419e38a43e73a9d1b96d68d0bd041df5cb3/Fase%202/Evidencias%20Proyecto/Evidencias%20de%20documentaci%C3%B3n/Scru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 ds:uri="http://www.w3.org/2001/XMLSchema-instance"/>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ONLYOFFICE/10.0.0.169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10</cp:revision>
  <dcterms:created xsi:type="dcterms:W3CDTF">2022-08-24T18:22:00Z</dcterms:created>
  <dcterms:modified xsi:type="dcterms:W3CDTF">2026-10-16T20:43:00Z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