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 в виде онлайн-калькулятора, выполняющего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оценку степени развития пандемии в регионе России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основе уже описанной базовой модели системной динамики.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Исследуемые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sz w:val="28"/>
          <w:szCs w:val="28"/>
          <w:rtl w:val="0"/>
        </w:rPr>
        <w:t xml:space="preserve">исследуемых показателей выбраны следующие переменные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летальность (mortality);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численность инфицированных (number of infected people);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численность населения региона (the number of civilizations);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численность госпитализированных (the number of hospitalized patients);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изолированность (isolation);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скорость распространения (propagation speed);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доступность лекарства (drug availability);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тяжесть симптомов (severity of symptoms);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количество умерших от заболевания (the number of deaths from the disease);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уровень медицины (level of medicine);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длительность инкубационного периода (duration of the incubation period);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длительность периода полного развития болезни (duration of the period of full development of the disease);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длительность реабилитационного периода (duration of the rehabilitation period);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устойчивость вируса к лекарствам (drug resistance of the virus);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420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(t) – степень осложнений заболевания (the degree of complications of the disease).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показатели были объединены в систему дифференциальных уравнений, решение которой позволит продемонстрировать изменения </w:t>
      </w:r>
      <w:r w:rsidDel="00000000" w:rsidR="00000000" w:rsidRPr="00000000">
        <w:rPr>
          <w:sz w:val="28"/>
          <w:szCs w:val="28"/>
          <w:rtl w:val="0"/>
        </w:rPr>
        <w:t xml:space="preserve">параметров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развития пандемии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течение времени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приведена ниже: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1 - Система уравнений и подграфов исследуемых переменных Li(t)</w:t>
      </w:r>
    </w:p>
    <w:tbl>
      <w:tblPr>
        <w:tblStyle w:val="Table1"/>
        <w:tblW w:w="10978.999999999998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"/>
        <w:gridCol w:w="6334"/>
        <w:gridCol w:w="4112"/>
        <w:tblGridChange w:id="0">
          <w:tblGrid>
            <w:gridCol w:w="533"/>
            <w:gridCol w:w="6334"/>
            <w:gridCol w:w="4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Уравнение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∙(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+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+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+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(t) - летальность (mortality)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6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7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∙(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+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(t) - численность инфицированных (number of infected people)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6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6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7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10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8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∙(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+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)−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9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(t) - численность цивилизации (the number of civilizations)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(t) - численность госпитализированных (the number of hospitalized patients)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10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6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(t)))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(t) - изолированность (isolation)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6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(t))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(t) - скорость распространения (propagation speed)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7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13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14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(L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15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13</m:t>
                          </m:r>
                        </m:sub>
                      </m:sSub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16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16</m:t>
                          </m:r>
                        </m:sub>
                      </m:sSub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(t) - доступность лекарства (drug availability)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8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8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17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9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18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19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(t) - тяжесть симптомов (severity of symptoms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9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9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20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(t) - количество умерших от заболевания (the number of deaths from the disease)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10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7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3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22</m:t>
                              </m:r>
                            </m:sub>
                          </m:s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(L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4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23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24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13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(t) - уровень медицины (level of medicine)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(t) - длительность инкубационного периода (duration of the incubation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−(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25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7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(t) - длительность периода полного развития болезни (duration of the period of full development of the disease)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13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(t) - длительность реабилитационного периода (duration of the rehabilitation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14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26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8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27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(t) - устойчивость вируса к лекарствам (drug resistance of the virus)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15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>∗</m:t>
                      </m:r>
                    </m:sup>
                  </m:sSup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28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9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−(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(t) - степень осложнений заболевания (the degree of complications of the disease)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Возмущения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Результаты комплекса мероприятий, необходимых для оценки влияния пандемии на риски развития цивилизации, показывают, что в качестве возмущений (внешних факторов) в модели целесообразно использовать следующие показатели: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опыт медицинских сотрудников;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опыт научных сотрудников;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трудоемкость разработки вакцины;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экономическая обстановка в цивилизации;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(t) – меры предпринятые государством.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Граф причинно-следственных связей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Граф причинно-следственных связей между моделируемыми переменными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1,15</m:t>
            </m:r>
          </m:e>
        </m:bar>
      </m:oMath>
      <w:r w:rsidDel="00000000" w:rsidR="00000000" w:rsidRPr="00000000">
        <w:rPr>
          <w:rtl w:val="0"/>
        </w:rPr>
        <w:t xml:space="preserve"> и факторами внешней среды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1,5</m:t>
            </m:r>
          </m:e>
        </m:bar>
      </m:oMath>
      <w:r w:rsidDel="00000000" w:rsidR="00000000" w:rsidRPr="00000000">
        <w:rPr>
          <w:rtl w:val="0"/>
        </w:rPr>
        <w:t xml:space="preserve"> формируется с разбитием на отдельные подграфы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G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1,15</m:t>
            </m:r>
          </m:e>
        </m:bar>
      </m:oMath>
      <w:r w:rsidDel="00000000" w:rsidR="00000000" w:rsidRPr="00000000">
        <w:rPr>
          <w:rtl w:val="0"/>
        </w:rPr>
        <w:t xml:space="preserve">, каждый из которых используется  при формировании соответствующего нелинейного дифференциального уравнения.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Матрица инцидентностей графа представляет собой матрицу </w:t>
      </w:r>
      <m:oMath>
        <m:r>
          <w:rPr>
            <w:rFonts w:ascii="Cambria Math" w:cs="Cambria Math" w:eastAsia="Cambria Math" w:hAnsi="Cambria Math"/>
          </w:rPr>
          <m:t xml:space="preserve">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L+q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 размером 15 х 20 по числу моделируемых переменных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1,15</m:t>
            </m:r>
          </m:e>
        </m:bar>
      </m:oMath>
      <w:r w:rsidDel="00000000" w:rsidR="00000000" w:rsidRPr="00000000">
        <w:rPr>
          <w:rtl w:val="0"/>
        </w:rPr>
        <w:t xml:space="preserve"> и возмущений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1,5</m:t>
            </m:r>
          </m:e>
        </m:ba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Значения элементов этой матрицы определяются следующими выражениями: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both"/>
        <w:rPr/>
      </w:pPr>
      <m:oMath>
        <m:r>
          <m:t>∀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i≤20, ∀j≤20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=+1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увеличение значения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1,15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фактора внешней среды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1,5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приводит к увеличению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1,15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фактора внешней среды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1,5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both"/>
        <w:rPr/>
      </w:pPr>
      <m:oMath>
        <m:r>
          <m:t>∀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i≤20, ∀j≤20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=−1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увеличение значения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1,15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фактора внешней среды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1,5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приводит к уменьшению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1,15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фактора внешней среды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1,5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отсутствии связи между указанными переменными и факторами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Связи графа (подграфы) причинно-следственных связей, определяющие взаимосвязи между переменными формируемой системы, приведены в таблице 1. По горизонтали указаны исследуемые переменные, по вертикали зависимости ранее описанных переменных от других.</w:t>
      </w:r>
    </w:p>
    <w:p w:rsidR="00000000" w:rsidDel="00000000" w:rsidP="00000000" w:rsidRDefault="00000000" w:rsidRPr="00000000" w14:paraId="00000056">
      <w:pPr>
        <w:rPr>
          <w:vertAlign w:val="subscript"/>
        </w:rPr>
      </w:pPr>
      <w:r w:rsidDel="00000000" w:rsidR="00000000" w:rsidRPr="00000000">
        <w:rPr>
          <w:rtl w:val="0"/>
        </w:rPr>
        <w:t xml:space="preserve">Значения элементов таблицы выбраны в соответствии с мнением экспертов о релевантности причинно-следственных связей, влияющих на моделируемую переменную. Эти значения могут быть изменены при внедрении разрабатываемой математической модели оценки влияния пандемии на риски развития цивилизации.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Решение системы дифференциальных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Дифференциальное уравнение, характеризующее изменение уровня исследуемых показателей как строки матрицы графа причинно-следственных связей 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L+q</m:t>
                </m:r>
              </m:e>
            </m:d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 в общем виде будет иметь форму:</w:t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∗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−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где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(t) – результат произведения факторов, влияющих на темп увеличения исследуемой переменной, а D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(t) – результат произведения факторов, влияющих на темп уменьшения исследуемой переменной.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Нормировка выполняется с помощью множителя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∗</m:t>
                </m:r>
              </m:sup>
            </m:sSup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, где </w:t>
      </w:r>
      <m:oMath>
        <m:sSup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>∗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- максимальное значение уровня функциональных возможностей рассматриваемого программного обеспечения в выбранной числовой шкале измерений.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системы дифференциальных уравнений было реализовано: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Решения системы дифференциальных уравнений;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Построения графика зависимости переменных L от времени 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Построения нескольких лепестковых диаграмм со значениями параметров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влияния пандемии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разные промежутки времени 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Функции возмущения представляют из себя ступенчатые функции. Далее представлено описание функций возмущения:</w:t>
      </w:r>
    </w:p>
    <w:p w:rsidR="00000000" w:rsidDel="00000000" w:rsidP="00000000" w:rsidRDefault="00000000" w:rsidRPr="00000000" w14:paraId="00000061">
      <w:pPr>
        <w:jc w:val="center"/>
        <w:rPr/>
      </w:pPr>
      <m:oMath>
        <m:r>
          <w:rPr/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0.1, при t≤0.4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0.5, при t&gt;0.4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0.2, при t&gt;07</m:t>
        </m:r>
        <m:r>
          <w:rPr/>
          <m:t xml:space="preserve"> 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0.2, при t≤0.5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0.6, при t&gt;0.5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0.4, при t&gt;0.9</m:t>
        </m:r>
        <m:r>
          <w:rPr/>
          <m:t xml:space="preserve"> 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3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0.8, при t≤0.2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0.5, при t&gt;0.2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0.3, при t&gt;0.8</m:t>
        </m:r>
        <m:r>
          <w:rPr/>
          <m:t xml:space="preserve"> 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4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0.7, при t≤0.3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0.4, при t&gt;0.3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0.6, при t&gt;0.6</m:t>
        </m:r>
        <m:r>
          <w:rPr/>
          <m:t xml:space="preserve"> 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5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0.3, при t≤0.4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0.7, при t&gt;0.4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0.5, при t&gt;0.8</m:t>
        </m:r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При начальных значениях L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[0.05; 0.01; 0.2; 0.7; 0.7; 0.5; 0.1; 0.3; 0.6; 0.8; 0.3; 0.5; 0.1; 0.8; 0.1], где каждый элемент массива представляет из себя исследуемый показатель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Arial" w:cs="Arial" w:eastAsia="Arial" w:hAnsi="Arial"/>
      <w:i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664377534D9745B995B2ABC957998F6E_12</vt:lpwstr>
  </property>
</Properties>
</file>