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1A93E">
      <w:pPr>
        <w:spacing w:after="120"/>
        <w:jc w:val="center"/>
      </w:pPr>
      <w:r>
        <w:rPr>
          <w:rFonts w:ascii="黑体" w:hAnsi="黑体" w:eastAsia="黑体"/>
          <w:b/>
          <w:sz w:val="32"/>
        </w:rPr>
        <w:t>长沙泉旭广告传媒有限公司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45CE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8" w:hRule="atLeast"/>
          <w:jc w:val="center"/>
        </w:trPr>
        <w:tc>
          <w:tcPr>
            <w:tcW w:w="9071" w:type="dxa"/>
          </w:tcPr>
          <w:p w14:paraId="2B3EB9A9">
            <w:pPr>
              <w:spacing w:after="0" w:line="240" w:lineRule="auto"/>
              <w:jc w:val="center"/>
            </w:pPr>
            <w:r>
              <w:rPr/>
              <w:drawing>
                <wp:inline distT="0" distB="0" distL="114300" distR="114300">
                  <wp:extent cx="5621655" cy="3062605"/>
                  <wp:effectExtent l="0" t="0" r="254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655" cy="306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2E3849">
      <w:bookmarkStart w:id="0" w:name="_GoBack"/>
      <w:bookmarkEnd w:id="0"/>
    </w:p>
    <w:sectPr>
      <w:pgSz w:w="11906" w:h="16838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DD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51</Characters>
  <Lines>0</Lines>
  <Paragraphs>0</Paragraphs>
  <TotalTime>1</TotalTime>
  <ScaleCrop>false</ScaleCrop>
  <LinksUpToDate>false</LinksUpToDate>
  <CharactersWithSpaces>51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WPS_1642391880</cp:lastModifiedBy>
  <dcterms:modified xsi:type="dcterms:W3CDTF">2026-10-31T14:12:20Z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eyJoZGlkIjoiYTIyNzdjNWQxMjg3MzlhODI2Nzg1ZjY4ZmEzNWUzM2MiLCJ1c2VySWQiOiIxMzE4OTkwMDcxIn0=</vt:lpwstr>
  </property>
  <property fmtid="{D5CDD505-2E9C-101B-9397-08002B2CF9AE}" pid="3" name="KSOProductBuildVer">
    <vt:lpwstr>2052-12.1.0.29680</vt:lpwstr>
  </property>
  <property fmtid="{D5CDD505-2E9C-101B-9397-08002B2CF9AE}" pid="4" name="ICV">
    <vt:lpwstr>3F028A7DB7F14E7D9D8A322240232C26_12</vt:lpwstr>
  </property>
</Properties>
</file>