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C9A24B"/>
          <w:sz w:val="18"/>
        </w:rPr>
        <w:t>RESCIA PROPERTIES</w:t>
      </w:r>
    </w:p>
    <w:p>
      <w:r>
        <w:rPr>
          <w:rFonts w:ascii="Georgia" w:hAnsi="Georgia"/>
          <w:b/>
          <w:color w:val="0B1D3A"/>
          <w:sz w:val="44"/>
        </w:rPr>
        <w:t>Multifamily Mastery Toolkit Guide</w:t>
      </w:r>
    </w:p>
    <w:p>
      <w:r>
        <w:rPr>
          <w:rFonts w:ascii="Arial" w:hAnsi="Arial"/>
          <w:i/>
          <w:color w:val="6B7280"/>
          <w:sz w:val="22"/>
        </w:rPr>
        <w:t>Index of templates, instructions for use, and program quick reference</w:t>
      </w:r>
    </w:p>
    <w:p>
      <w:pPr>
        <w:pBdr>
          <w:bottom w:val="single" w:sz="12" w:space="1" w:color="C9A24B"/>
        </w:pBdr>
      </w:pPr>
    </w:p>
    <w:p>
      <w:pPr>
        <w:spacing w:after="120"/>
      </w:pPr>
      <w:r>
        <w:rPr>
          <w:rFonts w:ascii="Georgia" w:hAnsi="Georgia"/>
          <w:color w:val="000000"/>
          <w:sz w:val="21"/>
        </w:rPr>
        <w:t>This toolkit accompanies the 12-week Multifamily Mastery program. Every template is institutional-grade and ready to adapt to your deal. Use in order; templates 1-5 support underwriting and raise, templates 6-11 support offer, legal, and closing.</w:t>
      </w:r>
    </w:p>
    <w:p>
      <w:pPr>
        <w:spacing w:before="280" w:after="120"/>
        <w:pBdr>
          <w:bottom w:val="single" w:sz="8" w:space="1" w:color="C9A24B"/>
        </w:pBdr>
      </w:pPr>
      <w:r>
        <w:rPr>
          <w:rFonts w:ascii="Arial" w:hAnsi="Arial"/>
          <w:b/>
          <w:color w:val="0B1D3A"/>
          <w:sz w:val="22"/>
        </w:rPr>
        <w:t>EXCEL TEMPLATES</w:t>
      </w:r>
    </w:p>
    <w:p>
      <w:pPr>
        <w:spacing w:before="200" w:after="60"/>
      </w:pPr>
      <w:r>
        <w:rPr>
          <w:rFonts w:ascii="Arial" w:hAnsi="Arial"/>
          <w:b/>
          <w:color w:val="0B1D3A"/>
          <w:sz w:val="22"/>
        </w:rPr>
        <w:t>01_Underwriting_Model.xlsx</w:t>
      </w:r>
    </w:p>
    <w:p>
      <w:pPr>
        <w:spacing w:after="120"/>
      </w:pPr>
      <w:r>
        <w:rPr>
          <w:rFonts w:ascii="Georgia" w:hAnsi="Georgia"/>
          <w:color w:val="000000"/>
          <w:sz w:val="21"/>
        </w:rPr>
        <w:t>5-year proforma, stress testing, DSCR, IRR/multiple/CoC, 80/20 waterfall. All inputs live on the Assumptions sheet.</w:t>
      </w:r>
    </w:p>
    <w:p>
      <w:pPr>
        <w:spacing w:before="200" w:after="60"/>
      </w:pPr>
      <w:r>
        <w:rPr>
          <w:rFonts w:ascii="Arial" w:hAnsi="Arial"/>
          <w:b/>
          <w:color w:val="0B1D3A"/>
          <w:sz w:val="22"/>
        </w:rPr>
        <w:t>02_Investor_Pipeline_CRM.xlsx</w:t>
      </w:r>
    </w:p>
    <w:p>
      <w:pPr>
        <w:spacing w:after="120"/>
      </w:pPr>
      <w:r>
        <w:rPr>
          <w:rFonts w:ascii="Georgia" w:hAnsi="Georgia"/>
          <w:color w:val="000000"/>
          <w:sz w:val="21"/>
        </w:rPr>
        <w:t>Lead-to-funded pipeline, raise progress tracker, and stage definitions.</w:t>
      </w:r>
    </w:p>
    <w:p>
      <w:pPr>
        <w:spacing w:before="200" w:after="60"/>
      </w:pPr>
      <w:r>
        <w:rPr>
          <w:rFonts w:ascii="Arial" w:hAnsi="Arial"/>
          <w:b/>
          <w:color w:val="0B1D3A"/>
          <w:sz w:val="22"/>
        </w:rPr>
        <w:t>03_CapEx_Budget_Tracker.xlsx</w:t>
      </w:r>
    </w:p>
    <w:p>
      <w:pPr>
        <w:spacing w:after="120"/>
      </w:pPr>
      <w:r>
        <w:rPr>
          <w:rFonts w:ascii="Georgia" w:hAnsi="Georgia"/>
          <w:color w:val="000000"/>
          <w:sz w:val="21"/>
        </w:rPr>
        <w:t>Line-item value-add budget with variance, completion, and vendor tracking.</w:t>
      </w:r>
    </w:p>
    <w:p>
      <w:pPr>
        <w:spacing w:before="200" w:after="60"/>
      </w:pPr>
      <w:r>
        <w:rPr>
          <w:rFonts w:ascii="Arial" w:hAnsi="Arial"/>
          <w:b/>
          <w:color w:val="0B1D3A"/>
          <w:sz w:val="22"/>
        </w:rPr>
        <w:t>04_Distribution_Waterfall.xlsx</w:t>
      </w:r>
    </w:p>
    <w:p>
      <w:pPr>
        <w:spacing w:after="120"/>
      </w:pPr>
      <w:r>
        <w:rPr>
          <w:rFonts w:ascii="Georgia" w:hAnsi="Georgia"/>
          <w:color w:val="000000"/>
          <w:sz w:val="21"/>
        </w:rPr>
        <w:t>Standalone 3-tier waterfall (ROC → Pref → 80/20 promote) with LP/GP IRR and multiple.</w:t>
      </w:r>
    </w:p>
    <w:p>
      <w:pPr>
        <w:spacing w:before="200" w:after="60"/>
      </w:pPr>
      <w:r>
        <w:rPr>
          <w:rFonts w:ascii="Arial" w:hAnsi="Arial"/>
          <w:b/>
          <w:color w:val="0B1D3A"/>
          <w:sz w:val="22"/>
        </w:rPr>
        <w:t>05_Quarterly_LP_Report.xlsx</w:t>
      </w:r>
    </w:p>
    <w:p>
      <w:pPr>
        <w:spacing w:after="120"/>
      </w:pPr>
      <w:r>
        <w:rPr>
          <w:rFonts w:ascii="Georgia" w:hAnsi="Georgia"/>
          <w:color w:val="000000"/>
          <w:sz w:val="21"/>
        </w:rPr>
        <w:t>Executive summary and budget-vs-actual template for quarterly investor reporting.</w:t>
      </w:r>
    </w:p>
    <w:p>
      <w:pPr>
        <w:spacing w:before="280" w:after="120"/>
        <w:pBdr>
          <w:bottom w:val="single" w:sz="8" w:space="1" w:color="C9A24B"/>
        </w:pBdr>
      </w:pPr>
      <w:r>
        <w:rPr>
          <w:rFonts w:ascii="Arial" w:hAnsi="Arial"/>
          <w:b/>
          <w:color w:val="0B1D3A"/>
          <w:sz w:val="22"/>
        </w:rPr>
        <w:t>WORD TEMPLATES</w:t>
      </w:r>
    </w:p>
    <w:p>
      <w:pPr>
        <w:spacing w:before="200" w:after="60"/>
      </w:pPr>
      <w:r>
        <w:rPr>
          <w:rFonts w:ascii="Arial" w:hAnsi="Arial"/>
          <w:b/>
          <w:color w:val="0B1D3A"/>
          <w:sz w:val="22"/>
        </w:rPr>
        <w:t>06_Letter_of_Intent.docx</w:t>
      </w:r>
    </w:p>
    <w:p>
      <w:pPr>
        <w:spacing w:after="120"/>
      </w:pPr>
      <w:r>
        <w:rPr>
          <w:rFonts w:ascii="Georgia" w:hAnsi="Georgia"/>
          <w:color w:val="000000"/>
          <w:sz w:val="21"/>
        </w:rPr>
        <w:t>Institutional LOI with price, EMD, DD, confidentiality (binding), and exclusivity (binding). Attach sponsor resume as Exhibit A.</w:t>
      </w:r>
    </w:p>
    <w:p>
      <w:pPr>
        <w:spacing w:before="200" w:after="60"/>
      </w:pPr>
      <w:r>
        <w:rPr>
          <w:rFonts w:ascii="Arial" w:hAnsi="Arial"/>
          <w:b/>
          <w:color w:val="0B1D3A"/>
          <w:sz w:val="22"/>
        </w:rPr>
        <w:t>07_PPM_Outline.docx</w:t>
      </w:r>
    </w:p>
    <w:p>
      <w:pPr>
        <w:spacing w:after="120"/>
      </w:pPr>
      <w:r>
        <w:rPr>
          <w:rFonts w:ascii="Georgia" w:hAnsi="Georgia"/>
          <w:color w:val="000000"/>
          <w:sz w:val="21"/>
        </w:rPr>
        <w:t>Structural outline for a Private Placement Memorandum. NOT a substitute for securities counsel.</w:t>
      </w:r>
    </w:p>
    <w:p>
      <w:pPr>
        <w:spacing w:before="200" w:after="60"/>
      </w:pPr>
      <w:r>
        <w:rPr>
          <w:rFonts w:ascii="Arial" w:hAnsi="Arial"/>
          <w:b/>
          <w:color w:val="0B1D3A"/>
          <w:sz w:val="22"/>
        </w:rPr>
        <w:t>08_Investor_Email_Campaign.docx</w:t>
      </w:r>
    </w:p>
    <w:p>
      <w:pPr>
        <w:spacing w:after="120"/>
      </w:pPr>
      <w:r>
        <w:rPr>
          <w:rFonts w:ascii="Georgia" w:hAnsi="Georgia"/>
          <w:color w:val="000000"/>
          <w:sz w:val="21"/>
        </w:rPr>
        <w:t>Seven-email investor nurture and raise sequence with 506(b)/506(c) compliance guidance.</w:t>
      </w:r>
    </w:p>
    <w:p>
      <w:pPr>
        <w:spacing w:before="200" w:after="60"/>
      </w:pPr>
      <w:r>
        <w:rPr>
          <w:rFonts w:ascii="Arial" w:hAnsi="Arial"/>
          <w:b/>
          <w:color w:val="0B1D3A"/>
          <w:sz w:val="22"/>
        </w:rPr>
        <w:t>09_PSA_Checklist.docx</w:t>
      </w:r>
    </w:p>
    <w:p>
      <w:pPr>
        <w:spacing w:after="120"/>
      </w:pPr>
      <w:r>
        <w:rPr>
          <w:rFonts w:ascii="Georgia" w:hAnsi="Georgia"/>
          <w:color w:val="000000"/>
          <w:sz w:val="21"/>
        </w:rPr>
        <w:t>Buyer-side negotiation checklist for the Purchase &amp; Sale Agreement. Each item pairs a typical seller ask with the preferred buyer position.</w:t>
      </w:r>
    </w:p>
    <w:p>
      <w:pPr>
        <w:spacing w:before="200" w:after="60"/>
      </w:pPr>
      <w:r>
        <w:rPr>
          <w:rFonts w:ascii="Arial" w:hAnsi="Arial"/>
          <w:b/>
          <w:color w:val="0B1D3A"/>
          <w:sz w:val="22"/>
        </w:rPr>
        <w:t>10_Due_Diligence_Checklist.docx</w:t>
      </w:r>
    </w:p>
    <w:p>
      <w:pPr>
        <w:spacing w:after="120"/>
      </w:pPr>
      <w:r>
        <w:rPr>
          <w:rFonts w:ascii="Georgia" w:hAnsi="Georgia"/>
          <w:color w:val="000000"/>
          <w:sz w:val="21"/>
        </w:rPr>
        <w:t>21-30 day institutional DD checklist spanning financial, physical, environmental, legal, market, operational, and lender diligence.</w:t>
      </w:r>
    </w:p>
    <w:p>
      <w:pPr>
        <w:spacing w:before="200" w:after="60"/>
      </w:pPr>
      <w:r>
        <w:rPr>
          <w:rFonts w:ascii="Arial" w:hAnsi="Arial"/>
          <w:b/>
          <w:color w:val="0B1D3A"/>
          <w:sz w:val="22"/>
        </w:rPr>
        <w:t>11_Property_Management_RFP.docx</w:t>
      </w:r>
    </w:p>
    <w:p>
      <w:pPr>
        <w:spacing w:after="120"/>
      </w:pPr>
      <w:r>
        <w:rPr>
          <w:rFonts w:ascii="Georgia" w:hAnsi="Georgia"/>
          <w:color w:val="000000"/>
          <w:sz w:val="21"/>
        </w:rPr>
        <w:t>RFP for selecting a third-party property manager, including all-in fee disclosure and KPI expectations.</w:t>
      </w:r>
    </w:p>
    <w:p>
      <w:pPr>
        <w:spacing w:before="280" w:after="120"/>
        <w:pBdr>
          <w:bottom w:val="single" w:sz="8" w:space="1" w:color="C9A24B"/>
        </w:pBdr>
      </w:pPr>
      <w:r>
        <w:rPr>
          <w:rFonts w:ascii="Arial" w:hAnsi="Arial"/>
          <w:b/>
          <w:color w:val="0B1D3A"/>
          <w:sz w:val="22"/>
        </w:rPr>
        <w:t>PROGRAM QUICK-REFERENCE</w:t>
      </w:r>
    </w:p>
    <w:tbl>
      <w:tblPr>
        <w:tblW w:type="auto" w:w="0"/>
        <w:jc w:val="left"/>
        <w:tblLook w:firstColumn="1" w:firstRow="1" w:lastColumn="0" w:lastRow="0" w:noHBand="0" w:noVBand="1" w:val="04A0"/>
      </w:tblPr>
      <w:tblGrid>
        <w:gridCol w:w="4680"/>
        <w:gridCol w:w="4680"/>
      </w:tblGrid>
      <w:tr>
        <w:tc>
          <w:tcPr>
            <w:tcW w:type="dxa" w:w="2880"/>
            <w:shd w:fill="F2F5FA" w:val="clear" w:color="auto"/>
          </w:tcPr>
          <w:p>
            <w:r>
              <w:rPr>
                <w:rFonts w:ascii="Arial" w:hAnsi="Arial"/>
                <w:b/>
                <w:color w:val="0B1D3A"/>
                <w:sz w:val="20"/>
              </w:rPr>
              <w:t>Target leverage</w:t>
            </w:r>
          </w:p>
        </w:tc>
        <w:tc>
          <w:tcPr>
            <w:tcW w:type="dxa" w:w="6480"/>
          </w:tcPr>
          <w:p>
            <w:r>
              <w:rPr>
                <w:rFonts w:ascii="Georgia" w:hAnsi="Georgia"/>
                <w:sz w:val="20"/>
              </w:rPr>
              <w:t>65% LTC / LTV</w:t>
            </w:r>
          </w:p>
        </w:tc>
      </w:tr>
      <w:tr>
        <w:tc>
          <w:tcPr>
            <w:tcW w:type="dxa" w:w="2880"/>
            <w:shd w:fill="F2F5FA" w:val="clear" w:color="auto"/>
          </w:tcPr>
          <w:p>
            <w:r>
              <w:rPr>
                <w:rFonts w:ascii="Arial" w:hAnsi="Arial"/>
                <w:b/>
                <w:color w:val="0B1D3A"/>
                <w:sz w:val="20"/>
              </w:rPr>
              <w:t>Preferred return</w:t>
            </w:r>
          </w:p>
        </w:tc>
        <w:tc>
          <w:tcPr>
            <w:tcW w:type="dxa" w:w="6480"/>
          </w:tcPr>
          <w:p>
            <w:r>
              <w:rPr>
                <w:rFonts w:ascii="Georgia" w:hAnsi="Georgia"/>
                <w:sz w:val="20"/>
              </w:rPr>
              <w:t>8% to LP</w:t>
            </w:r>
          </w:p>
        </w:tc>
      </w:tr>
      <w:tr>
        <w:tc>
          <w:tcPr>
            <w:tcW w:type="dxa" w:w="2880"/>
            <w:shd w:fill="F2F5FA" w:val="clear" w:color="auto"/>
          </w:tcPr>
          <w:p>
            <w:r>
              <w:rPr>
                <w:rFonts w:ascii="Arial" w:hAnsi="Arial"/>
                <w:b/>
                <w:color w:val="0B1D3A"/>
                <w:sz w:val="20"/>
              </w:rPr>
              <w:t>Promote</w:t>
            </w:r>
          </w:p>
        </w:tc>
        <w:tc>
          <w:tcPr>
            <w:tcW w:type="dxa" w:w="6480"/>
          </w:tcPr>
          <w:p>
            <w:r>
              <w:rPr>
                <w:rFonts w:ascii="Georgia" w:hAnsi="Georgia"/>
                <w:sz w:val="20"/>
              </w:rPr>
              <w:t>80% LP / 20% GP above pref</w:t>
            </w:r>
          </w:p>
        </w:tc>
      </w:tr>
      <w:tr>
        <w:tc>
          <w:tcPr>
            <w:tcW w:type="dxa" w:w="2880"/>
            <w:shd w:fill="F2F5FA" w:val="clear" w:color="auto"/>
          </w:tcPr>
          <w:p>
            <w:r>
              <w:rPr>
                <w:rFonts w:ascii="Arial" w:hAnsi="Arial"/>
                <w:b/>
                <w:color w:val="0B1D3A"/>
                <w:sz w:val="20"/>
              </w:rPr>
              <w:t>Base hold period</w:t>
            </w:r>
          </w:p>
        </w:tc>
        <w:tc>
          <w:tcPr>
            <w:tcW w:type="dxa" w:w="6480"/>
          </w:tcPr>
          <w:p>
            <w:r>
              <w:rPr>
                <w:rFonts w:ascii="Georgia" w:hAnsi="Georgia"/>
                <w:sz w:val="20"/>
              </w:rPr>
              <w:t>5 years with quarterly distributions</w:t>
            </w:r>
          </w:p>
        </w:tc>
      </w:tr>
      <w:tr>
        <w:tc>
          <w:tcPr>
            <w:tcW w:type="dxa" w:w="2880"/>
            <w:shd w:fill="F2F5FA" w:val="clear" w:color="auto"/>
          </w:tcPr>
          <w:p>
            <w:r>
              <w:rPr>
                <w:rFonts w:ascii="Arial" w:hAnsi="Arial"/>
                <w:b/>
                <w:color w:val="0B1D3A"/>
                <w:sz w:val="20"/>
              </w:rPr>
              <w:t>Target distributions</w:t>
            </w:r>
          </w:p>
        </w:tc>
        <w:tc>
          <w:tcPr>
            <w:tcW w:type="dxa" w:w="6480"/>
          </w:tcPr>
          <w:p>
            <w:r>
              <w:rPr>
                <w:rFonts w:ascii="Georgia" w:hAnsi="Georgia"/>
                <w:sz w:val="20"/>
              </w:rPr>
              <w:t>Quarterly cash-on-cash to LPs</w:t>
            </w:r>
          </w:p>
        </w:tc>
      </w:tr>
      <w:tr>
        <w:tc>
          <w:tcPr>
            <w:tcW w:type="dxa" w:w="2880"/>
            <w:shd w:fill="F2F5FA" w:val="clear" w:color="auto"/>
          </w:tcPr>
          <w:p>
            <w:r>
              <w:rPr>
                <w:rFonts w:ascii="Arial" w:hAnsi="Arial"/>
                <w:b/>
                <w:color w:val="0B1D3A"/>
                <w:sz w:val="20"/>
              </w:rPr>
              <w:t>GP co-invest</w:t>
            </w:r>
          </w:p>
        </w:tc>
        <w:tc>
          <w:tcPr>
            <w:tcW w:type="dxa" w:w="6480"/>
          </w:tcPr>
          <w:p>
            <w:r>
              <w:rPr>
                <w:rFonts w:ascii="Georgia" w:hAnsi="Georgia"/>
                <w:sz w:val="20"/>
              </w:rPr>
              <w:t>Typically 5-10% of equity</w:t>
            </w:r>
          </w:p>
        </w:tc>
      </w:tr>
      <w:tr>
        <w:tc>
          <w:tcPr>
            <w:tcW w:type="dxa" w:w="2880"/>
            <w:shd w:fill="F2F5FA" w:val="clear" w:color="auto"/>
          </w:tcPr>
          <w:p>
            <w:r>
              <w:rPr>
                <w:rFonts w:ascii="Arial" w:hAnsi="Arial"/>
                <w:b/>
                <w:color w:val="0B1D3A"/>
                <w:sz w:val="20"/>
              </w:rPr>
              <w:t>Stabilized DSCR target</w:t>
            </w:r>
          </w:p>
        </w:tc>
        <w:tc>
          <w:tcPr>
            <w:tcW w:type="dxa" w:w="6480"/>
          </w:tcPr>
          <w:p>
            <w:r>
              <w:rPr>
                <w:rFonts w:ascii="Georgia" w:hAnsi="Georgia"/>
                <w:sz w:val="20"/>
              </w:rPr>
              <w:t>≥ 1.25x on agency, ≥ 1.40x preferred</w:t>
            </w:r>
          </w:p>
        </w:tc>
      </w:tr>
      <w:tr>
        <w:tc>
          <w:tcPr>
            <w:tcW w:type="dxa" w:w="2880"/>
            <w:shd w:fill="F2F5FA" w:val="clear" w:color="auto"/>
          </w:tcPr>
          <w:p>
            <w:r>
              <w:rPr>
                <w:rFonts w:ascii="Arial" w:hAnsi="Arial"/>
                <w:b/>
                <w:color w:val="0B1D3A"/>
                <w:sz w:val="20"/>
              </w:rPr>
              <w:t>Underwriting standards</w:t>
            </w:r>
          </w:p>
        </w:tc>
        <w:tc>
          <w:tcPr>
            <w:tcW w:type="dxa" w:w="6480"/>
          </w:tcPr>
          <w:p>
            <w:r>
              <w:rPr>
                <w:rFonts w:ascii="Georgia" w:hAnsi="Georgia"/>
                <w:sz w:val="20"/>
              </w:rPr>
              <w:t>Entry cap + 25-75 bps for exit; rent growth 2-3% base; expense growth 2.5%</w:t>
            </w:r>
          </w:p>
        </w:tc>
      </w:tr>
      <w:tr>
        <w:tc>
          <w:tcPr>
            <w:tcW w:type="dxa" w:w="2880"/>
            <w:shd w:fill="F2F5FA" w:val="clear" w:color="auto"/>
          </w:tcPr>
          <w:p>
            <w:r>
              <w:rPr>
                <w:rFonts w:ascii="Arial" w:hAnsi="Arial"/>
                <w:b/>
                <w:color w:val="0B1D3A"/>
                <w:sz w:val="20"/>
              </w:rPr>
              <w:t>Raise buffer</w:t>
            </w:r>
          </w:p>
        </w:tc>
        <w:tc>
          <w:tcPr>
            <w:tcW w:type="dxa" w:w="6480"/>
          </w:tcPr>
          <w:p>
            <w:r>
              <w:rPr>
                <w:rFonts w:ascii="Georgia" w:hAnsi="Georgia"/>
                <w:sz w:val="20"/>
              </w:rPr>
              <w:t>Target 105-110% of required equity</w:t>
            </w:r>
          </w:p>
        </w:tc>
      </w:tr>
      <w:tr>
        <w:tc>
          <w:tcPr>
            <w:tcW w:type="dxa" w:w="2880"/>
            <w:shd w:fill="F2F5FA" w:val="clear" w:color="auto"/>
          </w:tcPr>
          <w:p>
            <w:r>
              <w:rPr>
                <w:rFonts w:ascii="Arial" w:hAnsi="Arial"/>
                <w:b/>
                <w:color w:val="0B1D3A"/>
                <w:sz w:val="20"/>
              </w:rPr>
              <w:t>Institutional IC threshold</w:t>
            </w:r>
          </w:p>
        </w:tc>
        <w:tc>
          <w:tcPr>
            <w:tcW w:type="dxa" w:w="6480"/>
          </w:tcPr>
          <w:p>
            <w:r>
              <w:rPr>
                <w:rFonts w:ascii="Georgia" w:hAnsi="Georgia"/>
                <w:sz w:val="20"/>
              </w:rPr>
              <w:t>Base IRR ≥ 15%, downside IRR ≥ 8%</w:t>
            </w:r>
          </w:p>
        </w:tc>
      </w:tr>
    </w:tbl>
    <w:p>
      <w:pPr>
        <w:spacing w:before="280" w:after="120"/>
        <w:pBdr>
          <w:bottom w:val="single" w:sz="8" w:space="1" w:color="C9A24B"/>
        </w:pBdr>
      </w:pPr>
      <w:r>
        <w:rPr>
          <w:rFonts w:ascii="Arial" w:hAnsi="Arial"/>
          <w:b/>
          <w:color w:val="0B1D3A"/>
          <w:sz w:val="22"/>
        </w:rPr>
        <w:t>DISCLAIMER</w:t>
      </w:r>
    </w:p>
    <w:p>
      <w:pPr>
        <w:spacing w:after="120"/>
      </w:pPr>
      <w:r>
        <w:rPr>
          <w:rFonts w:ascii="Georgia" w:hAnsi="Georgia"/>
          <w:i/>
          <w:color w:val="000000"/>
          <w:sz w:val="21"/>
        </w:rPr>
        <w:t>All templates are proprietary to Rescia Properties, LLC. They are provided for educational and personal use by enrolled students only. These templates are not legal, tax, or investment advice. Engage qualified securities counsel, real estate counsel, tax advisors, and brokers before executing any deal, raising capital, or selling securities. Redistribution, republication, or resale without written consent is prohibited and will result in access revocation.</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B7280"/>
        <w:sz w:val="16"/>
      </w:rPr>
      <w:t>Private &amp; Confidential · Rescia Properties, LLC ·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24B"/>
        <w:sz w:val="16"/>
      </w:rPr>
      <w:t>RESCIA PROPERTIES · MULTIFAMILY MASTERY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