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C9A24B"/>
          <w:sz w:val="18"/>
        </w:rPr>
        <w:t>RESCIA PROPERTIES</w:t>
      </w:r>
    </w:p>
    <w:p>
      <w:r>
        <w:rPr>
          <w:rFonts w:ascii="Georgia" w:hAnsi="Georgia"/>
          <w:b/>
          <w:color w:val="0B1D3A"/>
          <w:sz w:val="44"/>
        </w:rPr>
        <w:t>Private Placement Memorandum (Outline)</w:t>
      </w:r>
    </w:p>
    <w:p>
      <w:r>
        <w:rPr>
          <w:rFonts w:ascii="Arial" w:hAnsi="Arial"/>
          <w:i/>
          <w:color w:val="6B7280"/>
          <w:sz w:val="22"/>
        </w:rPr>
        <w:t>Working Document · Submit to Securities Counsel · Not an Offer to Sell</w:t>
      </w:r>
    </w:p>
    <w:p>
      <w:pPr>
        <w:pBdr>
          <w:bottom w:val="single" w:sz="12" w:space="1" w:color="C9A24B"/>
        </w:pBdr>
      </w:pPr>
    </w:p>
    <w:p>
      <w:pPr>
        <w:spacing w:after="120"/>
      </w:pPr>
      <w:r>
        <w:rPr>
          <w:rFonts w:ascii="Georgia" w:hAnsi="Georgia"/>
          <w:color w:val="000000"/>
          <w:sz w:val="21"/>
        </w:rPr>
        <w:t>This outline is a structural framework for a Private Placement Memorandum (PPM) for a real estate offering under Regulation D, Rule 506(b) or 506(c). It is NOT a substitute for a PPM drafted by qualified securities counsel. No offer or sale may be made on the basis of this outline. Populate each section with the input of the Sponsor and its attorneys.</w:t>
      </w:r>
    </w:p>
    <w:p>
      <w:pPr>
        <w:spacing w:before="280" w:after="120"/>
        <w:pBdr>
          <w:bottom w:val="single" w:sz="8" w:space="1" w:color="C9A24B"/>
        </w:pBdr>
      </w:pPr>
      <w:r>
        <w:rPr>
          <w:rFonts w:ascii="Arial" w:hAnsi="Arial"/>
          <w:b/>
          <w:color w:val="0B1D3A"/>
          <w:sz w:val="22"/>
        </w:rPr>
        <w:t>SUMMARY OF THE OFFERING</w:t>
      </w:r>
    </w:p>
    <w:p>
      <w:pPr>
        <w:pStyle w:val="ListBullet"/>
        <w:spacing w:after="60"/>
      </w:pPr>
      <w:r>
        <w:rPr>
          <w:rFonts w:ascii="Georgia" w:hAnsi="Georgia"/>
          <w:color w:val="000000"/>
          <w:sz w:val="21"/>
        </w:rPr>
        <w:t>Issuer name and type of entity (Delaware LLC is standard)</w:t>
      </w:r>
    </w:p>
    <w:p>
      <w:pPr>
        <w:pStyle w:val="ListBullet"/>
        <w:spacing w:after="60"/>
      </w:pPr>
      <w:r>
        <w:rPr>
          <w:rFonts w:ascii="Georgia" w:hAnsi="Georgia"/>
          <w:color w:val="000000"/>
          <w:sz w:val="21"/>
        </w:rPr>
        <w:t>Type of security (LLC membership interests)</w:t>
      </w:r>
    </w:p>
    <w:p>
      <w:pPr>
        <w:pStyle w:val="ListBullet"/>
        <w:spacing w:after="60"/>
      </w:pPr>
      <w:r>
        <w:rPr>
          <w:rFonts w:ascii="Georgia" w:hAnsi="Georgia"/>
          <w:color w:val="000000"/>
          <w:sz w:val="21"/>
        </w:rPr>
        <w:t>Total offering amount and minimum investment</w:t>
      </w:r>
    </w:p>
    <w:p>
      <w:pPr>
        <w:pStyle w:val="ListBullet"/>
        <w:spacing w:after="60"/>
      </w:pPr>
      <w:r>
        <w:rPr>
          <w:rFonts w:ascii="Georgia" w:hAnsi="Georgia"/>
          <w:color w:val="000000"/>
          <w:sz w:val="21"/>
        </w:rPr>
        <w:t>Use of proceeds summary</w:t>
      </w:r>
    </w:p>
    <w:p>
      <w:pPr>
        <w:pStyle w:val="ListBullet"/>
        <w:spacing w:after="60"/>
      </w:pPr>
      <w:r>
        <w:rPr>
          <w:rFonts w:ascii="Georgia" w:hAnsi="Georgia"/>
          <w:color w:val="000000"/>
          <w:sz w:val="21"/>
        </w:rPr>
        <w:t>Sponsor principals and affiliates</w:t>
      </w:r>
    </w:p>
    <w:p>
      <w:pPr>
        <w:pStyle w:val="ListBullet"/>
        <w:spacing w:after="60"/>
      </w:pPr>
      <w:r>
        <w:rPr>
          <w:rFonts w:ascii="Georgia" w:hAnsi="Georgia"/>
          <w:color w:val="000000"/>
          <w:sz w:val="21"/>
        </w:rPr>
        <w:t>Accreditation requirements and offering exemption (506(b) vs. 506(c))</w:t>
      </w:r>
    </w:p>
    <w:p>
      <w:pPr>
        <w:spacing w:before="280" w:after="120"/>
        <w:pBdr>
          <w:bottom w:val="single" w:sz="8" w:space="1" w:color="C9A24B"/>
        </w:pBdr>
      </w:pPr>
      <w:r>
        <w:rPr>
          <w:rFonts w:ascii="Arial" w:hAnsi="Arial"/>
          <w:b/>
          <w:color w:val="0B1D3A"/>
          <w:sz w:val="22"/>
        </w:rPr>
        <w:t>THE PROPERTY</w:t>
      </w:r>
    </w:p>
    <w:p>
      <w:pPr>
        <w:pStyle w:val="ListBullet"/>
        <w:spacing w:after="60"/>
      </w:pPr>
      <w:r>
        <w:rPr>
          <w:rFonts w:ascii="Georgia" w:hAnsi="Georgia"/>
          <w:color w:val="000000"/>
          <w:sz w:val="21"/>
        </w:rPr>
        <w:t>Property name, address, unit count, year built, gross SF</w:t>
      </w:r>
    </w:p>
    <w:p>
      <w:pPr>
        <w:pStyle w:val="ListBullet"/>
        <w:spacing w:after="60"/>
      </w:pPr>
      <w:r>
        <w:rPr>
          <w:rFonts w:ascii="Georgia" w:hAnsi="Georgia"/>
          <w:color w:val="000000"/>
          <w:sz w:val="21"/>
        </w:rPr>
        <w:t>Photos, site plan, unit mix summary</w:t>
      </w:r>
    </w:p>
    <w:p>
      <w:pPr>
        <w:pStyle w:val="ListBullet"/>
        <w:spacing w:after="60"/>
      </w:pPr>
      <w:r>
        <w:rPr>
          <w:rFonts w:ascii="Georgia" w:hAnsi="Georgia"/>
          <w:color w:val="000000"/>
          <w:sz w:val="21"/>
        </w:rPr>
        <w:t>Submarket overview and rent comps</w:t>
      </w:r>
    </w:p>
    <w:p>
      <w:pPr>
        <w:pStyle w:val="ListBullet"/>
        <w:spacing w:after="60"/>
      </w:pPr>
      <w:r>
        <w:rPr>
          <w:rFonts w:ascii="Georgia" w:hAnsi="Georgia"/>
          <w:color w:val="000000"/>
          <w:sz w:val="21"/>
        </w:rPr>
        <w:t>Business plan: value-add strategy, projected rent premium, renovation timeline</w:t>
      </w:r>
    </w:p>
    <w:p>
      <w:pPr>
        <w:pStyle w:val="ListBullet"/>
        <w:spacing w:after="60"/>
      </w:pPr>
      <w:r>
        <w:rPr>
          <w:rFonts w:ascii="Georgia" w:hAnsi="Georgia"/>
          <w:color w:val="000000"/>
          <w:sz w:val="21"/>
        </w:rPr>
        <w:t>Target hold period and exit strategy</w:t>
      </w:r>
    </w:p>
    <w:p>
      <w:pPr>
        <w:spacing w:before="280" w:after="120"/>
        <w:pBdr>
          <w:bottom w:val="single" w:sz="8" w:space="1" w:color="C9A24B"/>
        </w:pBdr>
      </w:pPr>
      <w:r>
        <w:rPr>
          <w:rFonts w:ascii="Arial" w:hAnsi="Arial"/>
          <w:b/>
          <w:color w:val="0B1D3A"/>
          <w:sz w:val="22"/>
        </w:rPr>
        <w:t>CAPITAL STRUCTURE</w:t>
      </w:r>
    </w:p>
    <w:p>
      <w:pPr>
        <w:pStyle w:val="ListBullet"/>
        <w:spacing w:after="60"/>
      </w:pPr>
      <w:r>
        <w:rPr>
          <w:rFonts w:ascii="Georgia" w:hAnsi="Georgia"/>
          <w:color w:val="000000"/>
          <w:sz w:val="21"/>
        </w:rPr>
        <w:t>Sources &amp; Uses table</w:t>
      </w:r>
    </w:p>
    <w:p>
      <w:pPr>
        <w:pStyle w:val="ListBullet"/>
        <w:spacing w:after="60"/>
      </w:pPr>
      <w:r>
        <w:rPr>
          <w:rFonts w:ascii="Georgia" w:hAnsi="Georgia"/>
          <w:color w:val="000000"/>
          <w:sz w:val="21"/>
        </w:rPr>
        <w:t>Senior debt terms (lender, amount, rate, amortization, I/O, recourse)</w:t>
      </w:r>
    </w:p>
    <w:p>
      <w:pPr>
        <w:pStyle w:val="ListBullet"/>
        <w:spacing w:after="60"/>
      </w:pPr>
      <w:r>
        <w:rPr>
          <w:rFonts w:ascii="Georgia" w:hAnsi="Georgia"/>
          <w:color w:val="000000"/>
          <w:sz w:val="21"/>
        </w:rPr>
        <w:t>Total equity raise and minimum commitments</w:t>
      </w:r>
    </w:p>
    <w:p>
      <w:pPr>
        <w:pStyle w:val="ListBullet"/>
        <w:spacing w:after="60"/>
      </w:pPr>
      <w:r>
        <w:rPr>
          <w:rFonts w:ascii="Georgia" w:hAnsi="Georgia"/>
          <w:color w:val="000000"/>
          <w:sz w:val="21"/>
        </w:rPr>
        <w:t>Preferred return (typically 7-9%)</w:t>
      </w:r>
    </w:p>
    <w:p>
      <w:pPr>
        <w:pStyle w:val="ListBullet"/>
        <w:spacing w:after="60"/>
      </w:pPr>
      <w:r>
        <w:rPr>
          <w:rFonts w:ascii="Georgia" w:hAnsi="Georgia"/>
          <w:color w:val="000000"/>
          <w:sz w:val="21"/>
        </w:rPr>
        <w:t>Waterfall mechanics post-preferred return</w:t>
      </w:r>
    </w:p>
    <w:p>
      <w:pPr>
        <w:pStyle w:val="ListBullet"/>
        <w:spacing w:after="60"/>
      </w:pPr>
      <w:r>
        <w:rPr>
          <w:rFonts w:ascii="Georgia" w:hAnsi="Georgia"/>
          <w:color w:val="000000"/>
          <w:sz w:val="21"/>
        </w:rPr>
        <w:t>GP co-investment</w:t>
      </w:r>
    </w:p>
    <w:p>
      <w:pPr>
        <w:pStyle w:val="ListBullet"/>
        <w:spacing w:after="60"/>
      </w:pPr>
      <w:r>
        <w:rPr>
          <w:rFonts w:ascii="Georgia" w:hAnsi="Georgia"/>
          <w:color w:val="000000"/>
          <w:sz w:val="21"/>
        </w:rPr>
        <w:t>Sponsor promote and carried interest</w:t>
      </w:r>
    </w:p>
    <w:p>
      <w:pPr>
        <w:spacing w:before="280" w:after="120"/>
        <w:pBdr>
          <w:bottom w:val="single" w:sz="8" w:space="1" w:color="C9A24B"/>
        </w:pBdr>
      </w:pPr>
      <w:r>
        <w:rPr>
          <w:rFonts w:ascii="Arial" w:hAnsi="Arial"/>
          <w:b/>
          <w:color w:val="0B1D3A"/>
          <w:sz w:val="22"/>
        </w:rPr>
        <w:t>SPONSOR &amp; MANAGEMENT</w:t>
      </w:r>
    </w:p>
    <w:p>
      <w:pPr>
        <w:pStyle w:val="ListBullet"/>
        <w:spacing w:after="60"/>
      </w:pPr>
      <w:r>
        <w:rPr>
          <w:rFonts w:ascii="Georgia" w:hAnsi="Georgia"/>
          <w:color w:val="000000"/>
          <w:sz w:val="21"/>
        </w:rPr>
        <w:t>Sponsor biographies and relevant experience</w:t>
      </w:r>
    </w:p>
    <w:p>
      <w:pPr>
        <w:pStyle w:val="ListBullet"/>
        <w:spacing w:after="60"/>
      </w:pPr>
      <w:r>
        <w:rPr>
          <w:rFonts w:ascii="Georgia" w:hAnsi="Georgia"/>
          <w:color w:val="000000"/>
          <w:sz w:val="21"/>
        </w:rPr>
        <w:t>Track record: recent acquisitions, dispositions, and performance where available</w:t>
      </w:r>
    </w:p>
    <w:p>
      <w:pPr>
        <w:pStyle w:val="ListBullet"/>
        <w:spacing w:after="60"/>
      </w:pPr>
      <w:r>
        <w:rPr>
          <w:rFonts w:ascii="Georgia" w:hAnsi="Georgia"/>
          <w:color w:val="000000"/>
          <w:sz w:val="21"/>
        </w:rPr>
        <w:t>Asset management and property management arrangements</w:t>
      </w:r>
    </w:p>
    <w:p>
      <w:pPr>
        <w:pStyle w:val="ListBullet"/>
        <w:spacing w:after="60"/>
      </w:pPr>
      <w:r>
        <w:rPr>
          <w:rFonts w:ascii="Georgia" w:hAnsi="Georgia"/>
          <w:color w:val="000000"/>
          <w:sz w:val="21"/>
        </w:rPr>
        <w:t>Principal net worth / liquidity overview</w:t>
      </w:r>
    </w:p>
    <w:p>
      <w:pPr>
        <w:pStyle w:val="ListBullet"/>
        <w:spacing w:after="60"/>
      </w:pPr>
      <w:r>
        <w:rPr>
          <w:rFonts w:ascii="Georgia" w:hAnsi="Georgia"/>
          <w:color w:val="000000"/>
          <w:sz w:val="21"/>
        </w:rPr>
        <w:t>Conflicts of interest disclosures</w:t>
      </w:r>
    </w:p>
    <w:p>
      <w:pPr>
        <w:spacing w:before="280" w:after="120"/>
        <w:pBdr>
          <w:bottom w:val="single" w:sz="8" w:space="1" w:color="C9A24B"/>
        </w:pBdr>
      </w:pPr>
      <w:r>
        <w:rPr>
          <w:rFonts w:ascii="Arial" w:hAnsi="Arial"/>
          <w:b/>
          <w:color w:val="0B1D3A"/>
          <w:sz w:val="22"/>
        </w:rPr>
        <w:t>FEES</w:t>
      </w:r>
    </w:p>
    <w:p>
      <w:pPr>
        <w:pStyle w:val="ListBullet"/>
        <w:spacing w:after="60"/>
      </w:pPr>
      <w:r>
        <w:rPr>
          <w:rFonts w:ascii="Georgia" w:hAnsi="Georgia"/>
          <w:color w:val="000000"/>
          <w:sz w:val="21"/>
        </w:rPr>
        <w:t>Acquisition fee (typically 1–2% of purchase price)</w:t>
      </w:r>
    </w:p>
    <w:p>
      <w:pPr>
        <w:pStyle w:val="ListBullet"/>
        <w:spacing w:after="60"/>
      </w:pPr>
      <w:r>
        <w:rPr>
          <w:rFonts w:ascii="Georgia" w:hAnsi="Georgia"/>
          <w:color w:val="000000"/>
          <w:sz w:val="21"/>
        </w:rPr>
        <w:t>Asset management fee (typically 1–2% of effective gross income or equity)</w:t>
      </w:r>
    </w:p>
    <w:p>
      <w:pPr>
        <w:pStyle w:val="ListBullet"/>
        <w:spacing w:after="60"/>
      </w:pPr>
      <w:r>
        <w:rPr>
          <w:rFonts w:ascii="Georgia" w:hAnsi="Georgia"/>
          <w:color w:val="000000"/>
          <w:sz w:val="21"/>
        </w:rPr>
        <w:t>Property management fee (if affiliate, explicit disclosure of rate and comparable market terms)</w:t>
      </w:r>
    </w:p>
    <w:p>
      <w:pPr>
        <w:pStyle w:val="ListBullet"/>
        <w:spacing w:after="60"/>
      </w:pPr>
      <w:r>
        <w:rPr>
          <w:rFonts w:ascii="Georgia" w:hAnsi="Georgia"/>
          <w:color w:val="000000"/>
          <w:sz w:val="21"/>
        </w:rPr>
        <w:t>Construction management / renovation oversight fee</w:t>
      </w:r>
    </w:p>
    <w:p>
      <w:pPr>
        <w:pStyle w:val="ListBullet"/>
        <w:spacing w:after="60"/>
      </w:pPr>
      <w:r>
        <w:rPr>
          <w:rFonts w:ascii="Georgia" w:hAnsi="Georgia"/>
          <w:color w:val="000000"/>
          <w:sz w:val="21"/>
        </w:rPr>
        <w:t>Refinance fee and disposition fee</w:t>
      </w:r>
    </w:p>
    <w:p>
      <w:pPr>
        <w:pStyle w:val="ListBullet"/>
        <w:spacing w:after="60"/>
      </w:pPr>
      <w:r>
        <w:rPr>
          <w:rFonts w:ascii="Georgia" w:hAnsi="Georgia"/>
          <w:color w:val="000000"/>
          <w:sz w:val="21"/>
        </w:rPr>
        <w:t>Expense reimbursements and third-party costs</w:t>
      </w:r>
    </w:p>
    <w:p>
      <w:pPr>
        <w:spacing w:before="280" w:after="120"/>
        <w:pBdr>
          <w:bottom w:val="single" w:sz="8" w:space="1" w:color="C9A24B"/>
        </w:pBdr>
      </w:pPr>
      <w:r>
        <w:rPr>
          <w:rFonts w:ascii="Arial" w:hAnsi="Arial"/>
          <w:b/>
          <w:color w:val="0B1D3A"/>
          <w:sz w:val="22"/>
        </w:rPr>
        <w:t>RISK FACTORS</w:t>
      </w:r>
    </w:p>
    <w:p>
      <w:pPr>
        <w:pStyle w:val="ListBullet"/>
        <w:spacing w:after="60"/>
      </w:pPr>
      <w:r>
        <w:rPr>
          <w:rFonts w:ascii="Georgia" w:hAnsi="Georgia"/>
          <w:color w:val="000000"/>
          <w:sz w:val="21"/>
        </w:rPr>
        <w:t>General market and real estate risk</w:t>
      </w:r>
    </w:p>
    <w:p>
      <w:pPr>
        <w:pStyle w:val="ListBullet"/>
        <w:spacing w:after="60"/>
      </w:pPr>
      <w:r>
        <w:rPr>
          <w:rFonts w:ascii="Georgia" w:hAnsi="Georgia"/>
          <w:color w:val="000000"/>
          <w:sz w:val="21"/>
        </w:rPr>
        <w:t>Concentration risk (single property / single MSA)</w:t>
      </w:r>
    </w:p>
    <w:p>
      <w:pPr>
        <w:pStyle w:val="ListBullet"/>
        <w:spacing w:after="60"/>
      </w:pPr>
      <w:r>
        <w:rPr>
          <w:rFonts w:ascii="Georgia" w:hAnsi="Georgia"/>
          <w:color w:val="000000"/>
          <w:sz w:val="21"/>
        </w:rPr>
        <w:t>Leverage risk and interest rate risk</w:t>
      </w:r>
    </w:p>
    <w:p>
      <w:pPr>
        <w:pStyle w:val="ListBullet"/>
        <w:spacing w:after="60"/>
      </w:pPr>
      <w:r>
        <w:rPr>
          <w:rFonts w:ascii="Georgia" w:hAnsi="Georgia"/>
          <w:color w:val="000000"/>
          <w:sz w:val="21"/>
        </w:rPr>
        <w:t>Capital expenditure and renovation execution risk</w:t>
      </w:r>
    </w:p>
    <w:p>
      <w:pPr>
        <w:pStyle w:val="ListBullet"/>
        <w:spacing w:after="60"/>
      </w:pPr>
      <w:r>
        <w:rPr>
          <w:rFonts w:ascii="Georgia" w:hAnsi="Georgia"/>
          <w:color w:val="000000"/>
          <w:sz w:val="21"/>
        </w:rPr>
        <w:t>Operating and property management risk</w:t>
      </w:r>
    </w:p>
    <w:p>
      <w:pPr>
        <w:pStyle w:val="ListBullet"/>
        <w:spacing w:after="60"/>
      </w:pPr>
      <w:r>
        <w:rPr>
          <w:rFonts w:ascii="Georgia" w:hAnsi="Georgia"/>
          <w:color w:val="000000"/>
          <w:sz w:val="21"/>
        </w:rPr>
        <w:t>Regulatory and tax risk (including zoning, rent regulation, Section 1031)</w:t>
      </w:r>
    </w:p>
    <w:p>
      <w:pPr>
        <w:pStyle w:val="ListBullet"/>
        <w:spacing w:after="60"/>
      </w:pPr>
      <w:r>
        <w:rPr>
          <w:rFonts w:ascii="Georgia" w:hAnsi="Georgia"/>
          <w:color w:val="000000"/>
          <w:sz w:val="21"/>
        </w:rPr>
        <w:t>Illiquidity and lack of public market for interests</w:t>
      </w:r>
    </w:p>
    <w:p>
      <w:pPr>
        <w:pStyle w:val="ListBullet"/>
        <w:spacing w:after="60"/>
      </w:pPr>
      <w:r>
        <w:rPr>
          <w:rFonts w:ascii="Georgia" w:hAnsi="Georgia"/>
          <w:color w:val="000000"/>
          <w:sz w:val="21"/>
        </w:rPr>
        <w:t>Dependence on key personnel</w:t>
      </w:r>
    </w:p>
    <w:p>
      <w:pPr>
        <w:pStyle w:val="ListBullet"/>
        <w:spacing w:after="60"/>
      </w:pPr>
      <w:r>
        <w:rPr>
          <w:rFonts w:ascii="Georgia" w:hAnsi="Georgia"/>
          <w:color w:val="000000"/>
          <w:sz w:val="21"/>
        </w:rPr>
        <w:t>Conflicts of interest</w:t>
      </w:r>
    </w:p>
    <w:p>
      <w:pPr>
        <w:pStyle w:val="ListBullet"/>
        <w:spacing w:after="60"/>
      </w:pPr>
      <w:r>
        <w:rPr>
          <w:rFonts w:ascii="Georgia" w:hAnsi="Georgia"/>
          <w:color w:val="000000"/>
          <w:sz w:val="21"/>
        </w:rPr>
        <w:t>Forward-looking statements disclaimer</w:t>
      </w:r>
    </w:p>
    <w:p>
      <w:pPr>
        <w:spacing w:before="280" w:after="120"/>
        <w:pBdr>
          <w:bottom w:val="single" w:sz="8" w:space="1" w:color="C9A24B"/>
        </w:pBdr>
      </w:pPr>
      <w:r>
        <w:rPr>
          <w:rFonts w:ascii="Arial" w:hAnsi="Arial"/>
          <w:b/>
          <w:color w:val="0B1D3A"/>
          <w:sz w:val="22"/>
        </w:rPr>
        <w:t>TAX CONSIDERATIONS</w:t>
      </w:r>
    </w:p>
    <w:p>
      <w:pPr>
        <w:pStyle w:val="ListBullet"/>
        <w:spacing w:after="60"/>
      </w:pPr>
      <w:r>
        <w:rPr>
          <w:rFonts w:ascii="Georgia" w:hAnsi="Georgia"/>
          <w:color w:val="000000"/>
          <w:sz w:val="21"/>
        </w:rPr>
        <w:t>LLC pass-through taxation and Schedule K-1 issuance</w:t>
      </w:r>
    </w:p>
    <w:p>
      <w:pPr>
        <w:pStyle w:val="ListBullet"/>
        <w:spacing w:after="60"/>
      </w:pPr>
      <w:r>
        <w:rPr>
          <w:rFonts w:ascii="Georgia" w:hAnsi="Georgia"/>
          <w:color w:val="000000"/>
          <w:sz w:val="21"/>
        </w:rPr>
        <w:t>Depreciation and cost-segregation overview (consult your tax advisor)</w:t>
      </w:r>
    </w:p>
    <w:p>
      <w:pPr>
        <w:pStyle w:val="ListBullet"/>
        <w:spacing w:after="60"/>
      </w:pPr>
      <w:r>
        <w:rPr>
          <w:rFonts w:ascii="Georgia" w:hAnsi="Georgia"/>
          <w:color w:val="000000"/>
          <w:sz w:val="21"/>
        </w:rPr>
        <w:t>UBTI considerations for retirement accounts</w:t>
      </w:r>
    </w:p>
    <w:p>
      <w:pPr>
        <w:pStyle w:val="ListBullet"/>
        <w:spacing w:after="60"/>
      </w:pPr>
      <w:r>
        <w:rPr>
          <w:rFonts w:ascii="Georgia" w:hAnsi="Georgia"/>
          <w:color w:val="000000"/>
          <w:sz w:val="21"/>
        </w:rPr>
        <w:t>Passive activity loss rules</w:t>
      </w:r>
    </w:p>
    <w:p>
      <w:pPr>
        <w:pStyle w:val="ListBullet"/>
        <w:spacing w:after="60"/>
      </w:pPr>
      <w:r>
        <w:rPr>
          <w:rFonts w:ascii="Georgia" w:hAnsi="Georgia"/>
          <w:color w:val="000000"/>
          <w:sz w:val="21"/>
        </w:rPr>
        <w:t>State filing implications in state of property</w:t>
      </w:r>
    </w:p>
    <w:p>
      <w:pPr>
        <w:spacing w:before="280" w:after="120"/>
        <w:pBdr>
          <w:bottom w:val="single" w:sz="8" w:space="1" w:color="C9A24B"/>
        </w:pBdr>
      </w:pPr>
      <w:r>
        <w:rPr>
          <w:rFonts w:ascii="Arial" w:hAnsi="Arial"/>
          <w:b/>
          <w:color w:val="0B1D3A"/>
          <w:sz w:val="22"/>
        </w:rPr>
        <w:t>TERMS OF THE OFFERING</w:t>
      </w:r>
    </w:p>
    <w:p>
      <w:pPr>
        <w:pStyle w:val="ListBullet"/>
        <w:spacing w:after="60"/>
      </w:pPr>
      <w:r>
        <w:rPr>
          <w:rFonts w:ascii="Georgia" w:hAnsi="Georgia"/>
          <w:color w:val="000000"/>
          <w:sz w:val="21"/>
        </w:rPr>
        <w:t>Minimum and maximum offering</w:t>
      </w:r>
    </w:p>
    <w:p>
      <w:pPr>
        <w:pStyle w:val="ListBullet"/>
        <w:spacing w:after="60"/>
      </w:pPr>
      <w:r>
        <w:rPr>
          <w:rFonts w:ascii="Georgia" w:hAnsi="Georgia"/>
          <w:color w:val="000000"/>
          <w:sz w:val="21"/>
        </w:rPr>
        <w:t>Timing and closings (rolling or single close)</w:t>
      </w:r>
    </w:p>
    <w:p>
      <w:pPr>
        <w:pStyle w:val="ListBullet"/>
        <w:spacing w:after="60"/>
      </w:pPr>
      <w:r>
        <w:rPr>
          <w:rFonts w:ascii="Georgia" w:hAnsi="Georgia"/>
          <w:color w:val="000000"/>
          <w:sz w:val="21"/>
        </w:rPr>
        <w:t>Capital calls and funding mechanics</w:t>
      </w:r>
    </w:p>
    <w:p>
      <w:pPr>
        <w:pStyle w:val="ListBullet"/>
        <w:spacing w:after="60"/>
      </w:pPr>
      <w:r>
        <w:rPr>
          <w:rFonts w:ascii="Georgia" w:hAnsi="Georgia"/>
          <w:color w:val="000000"/>
          <w:sz w:val="21"/>
        </w:rPr>
        <w:t>Transfer restrictions</w:t>
      </w:r>
    </w:p>
    <w:p>
      <w:pPr>
        <w:pStyle w:val="ListBullet"/>
        <w:spacing w:after="60"/>
      </w:pPr>
      <w:r>
        <w:rPr>
          <w:rFonts w:ascii="Georgia" w:hAnsi="Georgia"/>
          <w:color w:val="000000"/>
          <w:sz w:val="21"/>
        </w:rPr>
        <w:t>Withdrawal / redemption policy</w:t>
      </w:r>
    </w:p>
    <w:p>
      <w:pPr>
        <w:pStyle w:val="ListBullet"/>
        <w:spacing w:after="60"/>
      </w:pPr>
      <w:r>
        <w:rPr>
          <w:rFonts w:ascii="Georgia" w:hAnsi="Georgia"/>
          <w:color w:val="000000"/>
          <w:sz w:val="21"/>
        </w:rPr>
        <w:t>Anti-money laundering / KYC requirements</w:t>
      </w:r>
    </w:p>
    <w:p>
      <w:pPr>
        <w:spacing w:before="280" w:after="120"/>
        <w:pBdr>
          <w:bottom w:val="single" w:sz="8" w:space="1" w:color="C9A24B"/>
        </w:pBdr>
      </w:pPr>
      <w:r>
        <w:rPr>
          <w:rFonts w:ascii="Arial" w:hAnsi="Arial"/>
          <w:b/>
          <w:color w:val="0B1D3A"/>
          <w:sz w:val="22"/>
        </w:rPr>
        <w:t>LLC OPERATING AGREEMENT — KEY PROVISIONS</w:t>
      </w:r>
    </w:p>
    <w:p>
      <w:pPr>
        <w:pStyle w:val="ListBullet"/>
        <w:spacing w:after="60"/>
      </w:pPr>
      <w:r>
        <w:rPr>
          <w:rFonts w:ascii="Georgia" w:hAnsi="Georgia"/>
          <w:color w:val="000000"/>
          <w:sz w:val="21"/>
        </w:rPr>
        <w:t>Member rights and obligations</w:t>
      </w:r>
    </w:p>
    <w:p>
      <w:pPr>
        <w:pStyle w:val="ListBullet"/>
        <w:spacing w:after="60"/>
      </w:pPr>
      <w:r>
        <w:rPr>
          <w:rFonts w:ascii="Georgia" w:hAnsi="Georgia"/>
          <w:color w:val="000000"/>
          <w:sz w:val="21"/>
        </w:rPr>
        <w:t>Manager authority and major decisions</w:t>
      </w:r>
    </w:p>
    <w:p>
      <w:pPr>
        <w:pStyle w:val="ListBullet"/>
        <w:spacing w:after="60"/>
      </w:pPr>
      <w:r>
        <w:rPr>
          <w:rFonts w:ascii="Georgia" w:hAnsi="Georgia"/>
          <w:color w:val="000000"/>
          <w:sz w:val="21"/>
        </w:rPr>
        <w:t>Distribution waterfall detail</w:t>
      </w:r>
    </w:p>
    <w:p>
      <w:pPr>
        <w:pStyle w:val="ListBullet"/>
        <w:spacing w:after="60"/>
      </w:pPr>
      <w:r>
        <w:rPr>
          <w:rFonts w:ascii="Georgia" w:hAnsi="Georgia"/>
          <w:color w:val="000000"/>
          <w:sz w:val="21"/>
        </w:rPr>
        <w:t>Capital call mechanics (including dilution, penalty, default)</w:t>
      </w:r>
    </w:p>
    <w:p>
      <w:pPr>
        <w:pStyle w:val="ListBullet"/>
        <w:spacing w:after="60"/>
      </w:pPr>
      <w:r>
        <w:rPr>
          <w:rFonts w:ascii="Georgia" w:hAnsi="Georgia"/>
          <w:color w:val="000000"/>
          <w:sz w:val="21"/>
        </w:rPr>
        <w:t>Transfer and right of first refusal</w:t>
      </w:r>
    </w:p>
    <w:p>
      <w:pPr>
        <w:pStyle w:val="ListBullet"/>
        <w:spacing w:after="60"/>
      </w:pPr>
      <w:r>
        <w:rPr>
          <w:rFonts w:ascii="Georgia" w:hAnsi="Georgia"/>
          <w:color w:val="000000"/>
          <w:sz w:val="21"/>
        </w:rPr>
        <w:t>Term, dissolution, and liquidation</w:t>
      </w:r>
    </w:p>
    <w:p>
      <w:pPr>
        <w:spacing w:before="280" w:after="120"/>
        <w:pBdr>
          <w:bottom w:val="single" w:sz="8" w:space="1" w:color="C9A24B"/>
        </w:pBdr>
      </w:pPr>
      <w:r>
        <w:rPr>
          <w:rFonts w:ascii="Arial" w:hAnsi="Arial"/>
          <w:b/>
          <w:color w:val="0B1D3A"/>
          <w:sz w:val="22"/>
        </w:rPr>
        <w:t>EXHIBITS</w:t>
      </w:r>
    </w:p>
    <w:p>
      <w:pPr>
        <w:pStyle w:val="ListBullet"/>
        <w:spacing w:after="60"/>
      </w:pPr>
      <w:r>
        <w:rPr>
          <w:rFonts w:ascii="Georgia" w:hAnsi="Georgia"/>
          <w:color w:val="000000"/>
          <w:sz w:val="21"/>
        </w:rPr>
        <w:t>Subscription Agreement</w:t>
      </w:r>
    </w:p>
    <w:p>
      <w:pPr>
        <w:pStyle w:val="ListBullet"/>
        <w:spacing w:after="60"/>
      </w:pPr>
      <w:r>
        <w:rPr>
          <w:rFonts w:ascii="Georgia" w:hAnsi="Georgia"/>
          <w:color w:val="000000"/>
          <w:sz w:val="21"/>
        </w:rPr>
        <w:t>Accredited Investor Questionnaire</w:t>
      </w:r>
    </w:p>
    <w:p>
      <w:pPr>
        <w:pStyle w:val="ListBullet"/>
        <w:spacing w:after="60"/>
      </w:pPr>
      <w:r>
        <w:rPr>
          <w:rFonts w:ascii="Georgia" w:hAnsi="Georgia"/>
          <w:color w:val="000000"/>
          <w:sz w:val="21"/>
        </w:rPr>
        <w:t>Form of LLC Operating Agreement</w:t>
      </w:r>
    </w:p>
    <w:p>
      <w:pPr>
        <w:pStyle w:val="ListBullet"/>
        <w:spacing w:after="60"/>
      </w:pPr>
      <w:r>
        <w:rPr>
          <w:rFonts w:ascii="Georgia" w:hAnsi="Georgia"/>
          <w:color w:val="000000"/>
          <w:sz w:val="21"/>
        </w:rPr>
        <w:t>Property Diligence Summary (appraisal, PCA, Phase I summary)</w:t>
      </w:r>
    </w:p>
    <w:p>
      <w:pPr>
        <w:pStyle w:val="ListBullet"/>
        <w:spacing w:after="60"/>
      </w:pPr>
      <w:r>
        <w:rPr>
          <w:rFonts w:ascii="Georgia" w:hAnsi="Georgia"/>
          <w:color w:val="000000"/>
          <w:sz w:val="21"/>
        </w:rPr>
        <w:t>Sources &amp; Uses and 5-Year Pro Forma</w:t>
      </w:r>
    </w:p>
    <w:p>
      <w:pPr>
        <w:pStyle w:val="ListBullet"/>
        <w:spacing w:after="60"/>
      </w:pPr>
      <w:r>
        <w:rPr>
          <w:rFonts w:ascii="Georgia" w:hAnsi="Georgia"/>
          <w:color w:val="000000"/>
          <w:sz w:val="21"/>
        </w:rPr>
        <w:t>Sponsor Bios</w:t>
      </w:r>
    </w:p>
    <w:p>
      <w:pPr>
        <w:spacing w:before="280" w:after="120"/>
        <w:pBdr>
          <w:bottom w:val="single" w:sz="8" w:space="1" w:color="C9A24B"/>
        </w:pBdr>
      </w:pPr>
      <w:r>
        <w:rPr>
          <w:rFonts w:ascii="Arial" w:hAnsi="Arial"/>
          <w:b/>
          <w:color w:val="0B1D3A"/>
          <w:sz w:val="22"/>
        </w:rPr>
        <w:t>DRAFTING CHECKLIST FOR SPONSOR</w:t>
      </w:r>
    </w:p>
    <w:p>
      <w:pPr>
        <w:spacing w:after="60"/>
        <w:ind w:left="432"/>
      </w:pPr>
      <w:r>
        <w:rPr>
          <w:rFonts w:ascii="Arial" w:hAnsi="Arial"/>
          <w:sz w:val="22"/>
        </w:rPr>
        <w:t xml:space="preserve">☐  </w:t>
      </w:r>
      <w:r>
        <w:rPr>
          <w:rFonts w:ascii="Georgia" w:hAnsi="Georgia"/>
          <w:color w:val="000000"/>
          <w:sz w:val="21"/>
        </w:rPr>
        <w:t>Engage securities counsel early — do not circulate drafts without legal review.</w:t>
      </w:r>
    </w:p>
    <w:p>
      <w:pPr>
        <w:spacing w:after="60"/>
        <w:ind w:left="432"/>
      </w:pPr>
      <w:r>
        <w:rPr>
          <w:rFonts w:ascii="Arial" w:hAnsi="Arial"/>
          <w:sz w:val="22"/>
        </w:rPr>
        <w:t xml:space="preserve">☐  </w:t>
      </w:r>
      <w:r>
        <w:rPr>
          <w:rFonts w:ascii="Georgia" w:hAnsi="Georgia"/>
          <w:color w:val="000000"/>
          <w:sz w:val="21"/>
        </w:rPr>
        <w:t>Confirm 506(b) vs. 506(c) decision before beginning investor outreach.</w:t>
      </w:r>
    </w:p>
    <w:p>
      <w:pPr>
        <w:spacing w:after="60"/>
        <w:ind w:left="432"/>
      </w:pPr>
      <w:r>
        <w:rPr>
          <w:rFonts w:ascii="Arial" w:hAnsi="Arial"/>
          <w:sz w:val="22"/>
        </w:rPr>
        <w:t xml:space="preserve">☐  </w:t>
      </w:r>
      <w:r>
        <w:rPr>
          <w:rFonts w:ascii="Georgia" w:hAnsi="Georgia"/>
          <w:color w:val="000000"/>
          <w:sz w:val="21"/>
        </w:rPr>
        <w:t>Gather sponsor track record, principal bios, and net-worth attestations.</w:t>
      </w:r>
    </w:p>
    <w:p>
      <w:pPr>
        <w:spacing w:after="60"/>
        <w:ind w:left="432"/>
      </w:pPr>
      <w:r>
        <w:rPr>
          <w:rFonts w:ascii="Arial" w:hAnsi="Arial"/>
          <w:sz w:val="22"/>
        </w:rPr>
        <w:t xml:space="preserve">☐  </w:t>
      </w:r>
      <w:r>
        <w:rPr>
          <w:rFonts w:ascii="Georgia" w:hAnsi="Georgia"/>
          <w:color w:val="000000"/>
          <w:sz w:val="21"/>
        </w:rPr>
        <w:t>Reconcile fee disclosures to actual agreements with affiliates.</w:t>
      </w:r>
    </w:p>
    <w:p>
      <w:pPr>
        <w:spacing w:after="60"/>
        <w:ind w:left="432"/>
      </w:pPr>
      <w:r>
        <w:rPr>
          <w:rFonts w:ascii="Arial" w:hAnsi="Arial"/>
          <w:sz w:val="22"/>
        </w:rPr>
        <w:t xml:space="preserve">☐  </w:t>
      </w:r>
      <w:r>
        <w:rPr>
          <w:rFonts w:ascii="Georgia" w:hAnsi="Georgia"/>
          <w:color w:val="000000"/>
          <w:sz w:val="21"/>
        </w:rPr>
        <w:t>Risk Factors section should reflect the actual deal — avoid boilerplate.</w:t>
      </w:r>
    </w:p>
    <w:p>
      <w:pPr>
        <w:spacing w:after="60"/>
        <w:ind w:left="432"/>
      </w:pPr>
      <w:r>
        <w:rPr>
          <w:rFonts w:ascii="Arial" w:hAnsi="Arial"/>
          <w:sz w:val="22"/>
        </w:rPr>
        <w:t xml:space="preserve">☐  </w:t>
      </w:r>
      <w:r>
        <w:rPr>
          <w:rFonts w:ascii="Georgia" w:hAnsi="Georgia"/>
          <w:color w:val="000000"/>
          <w:sz w:val="21"/>
        </w:rPr>
        <w:t>Coordinate tax disclosure with CPA / tax counsel.</w:t>
      </w:r>
    </w:p>
    <w:p>
      <w:pPr>
        <w:spacing w:after="60"/>
        <w:ind w:left="432"/>
      </w:pPr>
      <w:r>
        <w:rPr>
          <w:rFonts w:ascii="Arial" w:hAnsi="Arial"/>
          <w:sz w:val="22"/>
        </w:rPr>
        <w:t xml:space="preserve">☐  </w:t>
      </w:r>
      <w:r>
        <w:rPr>
          <w:rFonts w:ascii="Georgia" w:hAnsi="Georgia"/>
          <w:color w:val="000000"/>
          <w:sz w:val="21"/>
        </w:rPr>
        <w:t>Ensure Operating Agreement, Subscription Agreement, and PPM use consistent defined terms.</w:t>
      </w:r>
    </w:p>
    <w:p>
      <w:pPr>
        <w:spacing w:after="60"/>
        <w:ind w:left="432"/>
      </w:pPr>
      <w:r>
        <w:rPr>
          <w:rFonts w:ascii="Arial" w:hAnsi="Arial"/>
          <w:sz w:val="22"/>
        </w:rPr>
        <w:t xml:space="preserve">☐  </w:t>
      </w:r>
      <w:r>
        <w:rPr>
          <w:rFonts w:ascii="Georgia" w:hAnsi="Georgia"/>
          <w:color w:val="000000"/>
          <w:sz w:val="21"/>
        </w:rPr>
        <w:t>Build and test the waterfall model alongside drafting.</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B7280"/>
        <w:sz w:val="16"/>
      </w:rPr>
      <w:t>Private &amp; Confidential · Rescia Properties, LLC ·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24B"/>
        <w:sz w:val="16"/>
      </w:rPr>
      <w:t>RESCIA PROPERTIES · MULTIFAMILY MASTERY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