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C9A24B"/>
          <w:sz w:val="18"/>
        </w:rPr>
        <w:t>RESCIA PROPERTIES</w:t>
      </w:r>
    </w:p>
    <w:p>
      <w:r>
        <w:rPr>
          <w:rFonts w:ascii="Georgia" w:hAnsi="Georgia"/>
          <w:b/>
          <w:color w:val="0B1D3A"/>
          <w:sz w:val="44"/>
        </w:rPr>
        <w:t>Purchase &amp; Sale Agreement Checklist</w:t>
      </w:r>
    </w:p>
    <w:p>
      <w:r>
        <w:rPr>
          <w:rFonts w:ascii="Arial" w:hAnsi="Arial"/>
          <w:i/>
          <w:color w:val="6B7280"/>
          <w:sz w:val="22"/>
        </w:rPr>
        <w:t>Buyer-side redline and negotiation guide for institutional multifamily transactions</w:t>
      </w:r>
    </w:p>
    <w:p>
      <w:pPr>
        <w:pBdr>
          <w:bottom w:val="single" w:sz="12" w:space="1" w:color="C9A24B"/>
        </w:pBdr>
      </w:pPr>
    </w:p>
    <w:p>
      <w:pPr>
        <w:spacing w:after="120"/>
      </w:pPr>
      <w:r>
        <w:rPr>
          <w:rFonts w:ascii="Georgia" w:hAnsi="Georgia"/>
          <w:i/>
          <w:color w:val="000000"/>
          <w:sz w:val="21"/>
        </w:rPr>
        <w:t>Use this checklist when reviewing a seller-drafted PSA. Each item flags a common seller position, the preferred buyer position, and a rationale. Coordinate with real estate counsel on actual language.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PURCHASE PRICE &amp; EARNEST MONEY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Purchase price expressed numerically and in words, with no allocation to personal property unless economically required.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Initial earnest money: 1–2% of purchase price deposited with independent escrow within 3 business days.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Additional earnest money upon DD expiration: additional 1–2%, goes hard on expiration of DD.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Earnest money held by neutral escrow agent, not seller or seller's attorney.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Interest on earnest money credited to buyer at closing.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DUE DILIGENCE PERIOD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Due Diligence Period of 21–30 days from effective date (PSA execution).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may extend DD by [5–10] additional days with notice to seller (for Phase II, late lender diligence, etc.).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Seller provides FULL Property File within 2 business days of effective date — NOT over the DD window.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Property File includes: 100% lease files, T-12 and T-24 financials, rent roll (current &amp; 12 months trailing), utility bills, property tax bills, service contracts, insurance policies, warranties, plans and specs, environmental reports, PCA.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Right to terminate with full earnest money refund for any reason during DD.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TITLE &amp; SURVEY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Seller delivers title commitment within 5 business days of effective date.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has 10–15 business days after receipt to object.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Seller must cure monetary liens at or before closing.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Permitted exceptions schedule reviewed and approved by buyer's counsel.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New ALTA survey ordered by buyer at buyer's expense, certified to buyer and lender.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INSPECTION RIGHTS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and representatives may access property with 24 hours notice.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Right to perform intrusive testing only with written seller approval (for Phase II).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Right to perform unit-by-unit interior inspections (coordinated with property management).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indemnification of seller for physical damage caused by inspections — narrowly scoped.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Existing utilities, tenants, and operations not disrupted.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REPRESENTATIONS &amp; WARRANTIES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Authority and execution.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litigation affecting the property.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violations of law or notices from governmental authorities.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Rent roll is accurate as of the effective date.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undisclosed leases, concessions, or side deals.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material adverse change in the property between effective date and closing.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Compliance with environmental laws to seller's knowledge.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Survival of reps: 6–12 months post-closing.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Cap on seller indemnification: 1–3% of purchase price.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OPERATIONS DURING ESCROW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Seller shall not enter into new leases &gt; [6–12 month] term without buyer approval after DD expiration.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material expense changes.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capital expenditures without buyer approval after DD expiration.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Continued maintenance at current levels.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Delivery of updated rent roll at closing.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CLOSING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Closing Date: [__] days after expiration of DD.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Each party pays own attorneys' fees.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Transfer tax: per local custom (usually seller).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Title premium: per local custom (usually seller; endorsements at buyer cost).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Pro-rations: rents, CAM, taxes, utilities as of 11:59 pm closing day.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Security deposits transferred by credit at closing; interest passed through per local law.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Pre-paid rents credited to buyer at closing.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Bills of sale and assignment of leases, service contracts, warranties, permits.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REMEDIES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default: limited to liquidated damages equal to initial earnest money. No consequential damages.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Seller default: buyer election of (a) specific performance, (b) termination with return of earnest money and reimbursement of DD costs up to $[___], or (c) damages.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No seller option to cure buyer default via price reduction alone.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ASSIGNMENT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Buyer right to assign to affiliate or single-purpose entity controlled by or under common control with buyer, without seller consent.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Assignment permitted post-execution and before closing.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FINAL ITEMS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Time is of the essence for all date-specific obligations.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Entire agreement clause — all prior discussions merged.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Governing law: state where property located.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Counterparts and electronic signature permitted.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TOP 5 RETRADE JUSTIFICATIONS (DOCUMENTED)</w:t>
      </w:r>
    </w:p>
    <w:p>
      <w:pPr>
        <w:spacing w:after="120"/>
      </w:pPr>
      <w:r>
        <w:rPr>
          <w:rFonts w:ascii="Georgia" w:hAnsi="Georgia"/>
          <w:color w:val="000000"/>
          <w:sz w:val="21"/>
        </w:rPr>
        <w:t>Retrades should be surgical and based on documented, material findings. Never 'shotgun'.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Rent roll misrepresentation: 100% lease audit reveals systematic overstatement of rent, occupancy, or concessions.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Material Phase I environmental finding that requires Phase II or remediation.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PCA reveals a major capital need (e.g., roof, foundation, HVAC) not disclosed and not in the underwriting.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Insurance quote materially exceeds underwriting (&gt;50% delta), especially in post-hurricane or hail regions.</w:t>
      </w:r>
    </w:p>
    <w:p>
      <w:pPr>
        <w:pStyle w:val="ListBullet"/>
        <w:spacing w:after="60"/>
      </w:pPr>
      <w:r>
        <w:rPr>
          <w:rFonts w:ascii="Georgia" w:hAnsi="Georgia"/>
          <w:color w:val="000000"/>
          <w:sz w:val="21"/>
        </w:rPr>
        <w:t>Property tax reassessment to purchase price (verified with local assessor) materially exceeds seller's T-12 figure.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6B7280"/>
        <w:sz w:val="16"/>
      </w:rPr>
      <w:t>Private &amp; Confidential · Rescia Properties, LLC ·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C9A24B"/>
        <w:sz w:val="16"/>
      </w:rPr>
      <w:t>RESCIA PROPERTIES · MULTIFAMILY MASTERY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