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C9A24B"/>
          <w:sz w:val="18"/>
        </w:rPr>
        <w:t>RESCIA PROPERTIES</w:t>
      </w:r>
    </w:p>
    <w:p>
      <w:r>
        <w:rPr>
          <w:rFonts w:ascii="Georgia" w:hAnsi="Georgia"/>
          <w:b/>
          <w:color w:val="0B1D3A"/>
          <w:sz w:val="44"/>
        </w:rPr>
        <w:t>Due Diligence Checklist</w:t>
      </w:r>
    </w:p>
    <w:p>
      <w:r>
        <w:rPr>
          <w:rFonts w:ascii="Arial" w:hAnsi="Arial"/>
          <w:i/>
          <w:color w:val="6B7280"/>
          <w:sz w:val="22"/>
        </w:rPr>
        <w:t>Institutional multifamily DD — Buyer-side · 21-30 day standard timeline</w:t>
      </w:r>
    </w:p>
    <w:p>
      <w:pPr>
        <w:pBdr>
          <w:bottom w:val="single" w:sz="12" w:space="1" w:color="C9A24B"/>
        </w:pBdr>
      </w:pPr>
    </w:p>
    <w:p>
      <w:pPr>
        <w:spacing w:after="120"/>
      </w:pPr>
      <w:r>
        <w:rPr>
          <w:rFonts w:ascii="Georgia" w:hAnsi="Georgia"/>
          <w:i/>
          <w:color w:val="000000"/>
          <w:sz w:val="21"/>
        </w:rPr>
        <w:t>Every item below is mandatory before DD expiration. This is not exhaustive — adapt to asset profile, jurisdiction, and lender requirements.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PROPERTY FILE DELIVERY (FROM SELLER, WITHIN 2 BUSINESS DAYS OF PSA)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Full rent roll (as of effective date, month-end prior, and trailing 12)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T-12, T-24, and T-36 income statements (cash basis and accrual basis)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Current month-to-date operating report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Budget for current fiscal year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Lease files for 100% of residential units (NOT sampling)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Unit mix and floor plan detail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Service contracts (PM, landscape, trash, pest, elevator, HVAC, alarm, cable/internet)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Existing loan documents and payoff statements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Property insurance certificates and 5-year loss runs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Property tax bills (5 years) and assessment appeals history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Utility bills (24 months, all utilities)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Warranties and manuals (HVAC, roofing, pool equipment, appliances)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Capital expense history (5 years) and list of recent improvements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Plans, specs, and as-builts (if available)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Zoning letter or certificate of occupancy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Environmental reports (Phase I from acquisition; any subsequent reports)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ADA compliance assessments (if any)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Prior appraisals (if available)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Any litigation, complaints, code violations, or notices of non-compliance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FINANCIAL DILIGENCE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Rebuild T-12 from general ledger — reconcile to income statement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Sample 10–15% of deposits to bank statement (verify rents actually received)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Confirm delinquency report matches rent roll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Validate concessions, security deposits, and non-refundable fees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Reconcile utility expenses to actual bills (not proforma)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Payroll detail review (union, W-2 vs. 1099, headcount)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Property tax reassessment analysis (at purchase price)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Insurance broker quote for new ownership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Reserve for replacement benchmark review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PHYSICAL DILIGENCE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Property Condition Assessment (PCA) by multifamily-experienced engineer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20-year capital needs reserve table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Roof inspection (walk-on) — age, condition, warranty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HVAC assessment — age, condition, refrigerant type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Electrical panel survey (especially for pre-1990s assets)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Plumbing inspection (riser inspection where accessible)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Foundation and structural visual assessment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Parking lot and site assessment (asphalt, curbing, striping)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Unit-by-unit interior inspection (100%) with photos and deficiency log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Amenity inspection (pool, fitness, clubhouse, laundry)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ADA survey (common areas and a sample of units)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ENVIRONMENTAL DILIGENCE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Updated Phase I Environmental Site Assessment (ASTM 2021+)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Database review and government records review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Site inspection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User questionnaire response from seller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Review of adjoining sites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Follow-up Phase II if any Recognized Environmental Condition identified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Radon, mold, or asbestos assessments if indicated by Phase I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LEGAL &amp; TITLE DILIGENCE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Title commitment review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Survey (ALTA/NSPS, certified to buyer and lender)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Easement, encroachment, and ROW analysis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Zoning compliance certification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Liquor license or other special-use permits (if applicable)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Review of any pending litigation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Municipal lien search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UCC search on seller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MARKET DILIGENCE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Independent rent comps (5+ properties) via mystery shop and CoStar/Yardi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Occupancy and absorption trends in submarket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New supply pipeline in 3-mile radius (permitted, under construction)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Employment and migration trends (BLS, IRS SOI)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Crime data review (submarket level)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School district validation (if family-oriented product)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OPERATIONAL DILIGENCE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Meeting(s) with on-site property manager and seller asset manager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Review of marketing materials, pricing strategy, and concession policy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Mystery shop top 5 comp properties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Review of renewal rates, turn times, and concession trends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Review of vendor contracts for termination or assumption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Review of key personnel compensation and retention risk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LENDER DILIGENCE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Lender's Phase I, appraisal, and PCA orders placed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Loan documents reviewed by borrower's counsel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Rate lock strategy confirmed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Final debt sizing re-verified against updated T-3 and underwriting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Reserves sized (tax, insurance, replacement, debt service)</w:t>
      </w:r>
    </w:p>
    <w:p>
      <w:pPr>
        <w:spacing w:before="280" w:after="120"/>
        <w:pBdr>
          <w:bottom w:val="single" w:sz="8" w:space="1" w:color="C9A24B"/>
        </w:pBdr>
      </w:pPr>
      <w:r>
        <w:rPr>
          <w:rFonts w:ascii="Arial" w:hAnsi="Arial"/>
          <w:b/>
          <w:color w:val="0B1D3A"/>
          <w:sz w:val="22"/>
        </w:rPr>
        <w:t>GOVERNANCE (SPONSOR-SIDE)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IC memo finalized with updated underwriting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Capital raise status — target equity subscribed with cushion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PPM finalized by securities counsel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Investor accreditation verification completed (if 506(c))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Subscription documents and escrow mechanism in place</w:t>
      </w:r>
    </w:p>
    <w:p>
      <w:pPr>
        <w:spacing w:after="60"/>
        <w:ind w:left="432"/>
      </w:pPr>
      <w:r>
        <w:rPr>
          <w:rFonts w:ascii="Arial" w:hAnsi="Arial"/>
          <w:sz w:val="22"/>
        </w:rPr>
        <w:t xml:space="preserve">☐  </w:t>
      </w:r>
      <w:r>
        <w:rPr>
          <w:rFonts w:ascii="Georgia" w:hAnsi="Georgia"/>
          <w:color w:val="000000"/>
          <w:sz w:val="21"/>
        </w:rPr>
        <w:t>Post-closing insurance binder and COI ready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i/>
        <w:color w:val="6B7280"/>
        <w:sz w:val="16"/>
      </w:rPr>
      <w:t>Private &amp; Confidential · Rescia Properties, LLC · ©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C9A24B"/>
        <w:sz w:val="16"/>
      </w:rPr>
      <w:t>RESCIA PROPERTIES · MULTIFAMILY MASTERY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