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35A089E" wp14:textId="44F80669">
      <w:bookmarkStart w:name="_GoBack" w:id="0"/>
      <w:bookmarkEnd w:id="0"/>
      <w:r w:rsidRPr="2E33FDF3" w:rsidR="10CDF24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Brownsville Overview</w:t>
      </w:r>
    </w:p>
    <w:p xmlns:wp14="http://schemas.microsoft.com/office/word/2010/wordml" w14:paraId="4390B6C8" wp14:textId="25255028">
      <w:r w:rsidRPr="2E33FDF3" w:rsidR="10CDF2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17549C53" wp14:textId="23BDCAE8">
      <w:r w:rsidRPr="2E33FDF3" w:rsidR="10CDF24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Brownsville Houses is a federally-funded, conventional development of 3,109 residents located in the Brownsville section of Brooklyn. The 18.82-acre site consists of 27 residential buildings of 3,6, and 7 stories with 1,338 units. </w:t>
      </w:r>
    </w:p>
    <w:p xmlns:wp14="http://schemas.microsoft.com/office/word/2010/wordml" w14:paraId="034F9B47" wp14:textId="1011645A">
      <w:r>
        <w:br/>
      </w:r>
    </w:p>
    <w:p xmlns:wp14="http://schemas.microsoft.com/office/word/2010/wordml" w:rsidP="2E33FDF3" w14:paraId="2C078E63" wp14:textId="790B728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D8D1442"/>
  <w15:docId w15:val="{8e1978b1-e87f-448b-aca7-0efda5bf1d4e}"/>
  <w:rsids>
    <w:rsidRoot w:val="1D8D1442"/>
    <w:rsid w:val="10CDF24E"/>
    <w:rsid w:val="1D8D1442"/>
    <w:rsid w:val="2E33FDF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69FB195E-B419-4663-B584-0F37E9DB8131}"/>
</file>

<file path=customXml/itemProps2.xml><?xml version="1.0" encoding="utf-8"?>
<ds:datastoreItem xmlns:ds="http://schemas.openxmlformats.org/officeDocument/2006/customXml" ds:itemID="{15265B60-E2E1-4325-9C95-2CFCF3CEC4DF}"/>
</file>

<file path=customXml/itemProps3.xml><?xml version="1.0" encoding="utf-8"?>
<ds:datastoreItem xmlns:ds="http://schemas.openxmlformats.org/officeDocument/2006/customXml" ds:itemID="{285DD4A2-3ECC-469E-8CFB-AA456C1360F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Olosunde, Oluwanisola</dc:creator>
  <cp:keywords/>
  <dc:description/>
  <cp:lastModifiedBy>Olosunde, Oluwanisola</cp:lastModifiedBy>
  <dcterms:created xsi:type="dcterms:W3CDTF">2020-08-31T16:46:59Z</dcterms:created>
  <dcterms:modified xsi:type="dcterms:W3CDTF">2020-08-31T16:47:49Z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