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A05 — Chair, university research ethics committee</w:t>
      </w:r>
    </w:p>
    <w:p>
      <w:r>
        <w:rPr>
          <w:i/>
          <w:sz w:val="18"/>
        </w:rPr>
        <w:t>Case: Port Calder adaptive traffic signal and pedestrian detection system  |  SYNTHETIC DATA — not a real interview</w:t>
      </w:r>
    </w:p>
    <w:p>
      <w:pPr>
        <w:spacing w:after="120"/>
      </w:pPr>
      <w:r>
        <w:t>[Interviewer] Did any part of this deployment come before your committee?</w:t>
      </w:r>
    </w:p>
    <w:p>
      <w:pPr>
        <w:spacing w:after="120"/>
      </w:pPr>
      <w:r>
        <w:t>[Respondent] Only the research on it, not the system itself. That distinction is the whole problem in one sentence. If a doctoral student wants to interview twelve people about the cameras, that comes to me and I will spend forty minutes on the consent form. The decision to install the cameras and point them at a hundred thousand people went through a procurement committee. Nobody thinks this is strange except the people who say it out loud.</w:t>
      </w:r>
    </w:p>
    <w:p>
      <w:pPr>
        <w:spacing w:after="120"/>
      </w:pPr>
      <w:r>
        <w:t>[Interviewer] Could your committee's remit cover deployments?</w:t>
      </w:r>
    </w:p>
    <w:p>
      <w:pPr>
        <w:spacing w:after="120"/>
      </w:pPr>
      <w:r>
        <w:t>[Respondent] Not as constituted. We have no authority over the city and no capacity if we did — we're eleven academics and an administrator, meeting six times a year, and we're already behind. I mention the capacity because people propose expanding ethics review as though review were free.</w:t>
      </w:r>
    </w:p>
    <w:p>
      <w:pPr>
        <w:spacing w:after="120"/>
      </w:pPr>
      <w:r>
        <w:t>[Interviewer] What have you seen change in the studies that do come to you?</w:t>
      </w:r>
    </w:p>
    <w:p>
      <w:pPr>
        <w:spacing w:after="120"/>
      </w:pPr>
      <w:r>
        <w:t>[Respondent] More applications now include a data-protection impact assessment, which is progress. What I still almost never see is a plan for what the researcher will do if the finding is inconvenient to the funder. I've started asking for it. Roughly a third of applicants have no answer and about a fifth are visibly irritated that I asked.</w:t>
      </w:r>
    </w:p>
    <w:p>
      <w:pPr>
        <w:spacing w:after="120"/>
      </w:pPr>
      <w:r>
        <w:t>[Interviewer] Do affected communities have any voice in your process?</w:t>
      </w:r>
    </w:p>
    <w:p>
      <w:pPr>
        <w:spacing w:after="120"/>
      </w:pPr>
      <w:r>
        <w:t>[Respondent] We have one lay member. One, out of twelve. She is excellent and she is also one person doing the work of a category. When she can't attend, the public perspective is simply absent from that meeting and we proceed anyway. We should not proceed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