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Interview transcript N03 — Campaigner, digital rights organisation</w:t>
      </w:r>
    </w:p>
    <w:p>
      <w:r>
        <w:rPr>
          <w:i/>
          <w:sz w:val="18"/>
        </w:rPr>
        <w:t>Case: Port Calder adaptive traffic signal and pedestrian detection system  |  SYNTHETIC DATA — not a real interview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Speaker</w:t>
            </w:r>
          </w:p>
        </w:tc>
        <w:tc>
          <w:tcPr>
            <w:tcW w:type="dxa" w:w="4320"/>
          </w:tcPr>
          <w:p>
            <w:r>
              <w:t>Content</w:t>
            </w:r>
          </w:p>
        </w:tc>
      </w:tr>
      <w:tr>
        <w:tc>
          <w:tcPr>
            <w:tcW w:type="dxa" w:w="4320"/>
          </w:tcPr>
          <w:p>
            <w:r>
              <w:t>Interviewer</w:t>
            </w:r>
          </w:p>
        </w:tc>
        <w:tc>
          <w:tcPr>
            <w:tcW w:type="dxa" w:w="4320"/>
          </w:tcPr>
          <w:p>
            <w:r>
              <w:t>What's your organisation's interest here?</w:t>
            </w:r>
          </w:p>
        </w:tc>
      </w:tr>
      <w:tr>
        <w:tc>
          <w:tcPr>
            <w:tcW w:type="dxa" w:w="4320"/>
          </w:tcPr>
          <w:p>
            <w:r>
              <w:t>Respondent</w:t>
            </w:r>
          </w:p>
        </w:tc>
        <w:tc>
          <w:tcPr>
            <w:tcW w:type="dxa" w:w="4320"/>
          </w:tcPr>
          <w:p>
            <w:r>
              <w:t>Function creep, mainly. A camera installed to count pedestrians is a camera. The counting is a software decision and software decisions get revisited. Our position isn't that anyone here intends to do anything else with it — I've met these officers, they don't — it's that intent isn't a control. The people who make the decision in 2031 haven't been hired yet.</w:t>
            </w:r>
          </w:p>
        </w:tc>
      </w:tr>
      <w:tr>
        <w:tc>
          <w:tcPr>
            <w:tcW w:type="dxa" w:w="4320"/>
          </w:tcPr>
          <w:p>
            <w:r>
              <w:t>Interviewer</w:t>
            </w:r>
          </w:p>
        </w:tc>
        <w:tc>
          <w:tcPr>
            <w:tcW w:type="dxa" w:w="4320"/>
          </w:tcPr>
          <w:p>
            <w:r>
              <w:t>What have you asked for?</w:t>
            </w:r>
          </w:p>
        </w:tc>
      </w:tr>
      <w:tr>
        <w:tc>
          <w:tcPr>
            <w:tcW w:type="dxa" w:w="4320"/>
          </w:tcPr>
          <w:p>
            <w:r>
              <w:t>Respondent</w:t>
            </w:r>
          </w:p>
        </w:tc>
        <w:tc>
          <w:tcPr>
            <w:tcW w:type="dxa" w:w="4320"/>
          </w:tcPr>
          <w:p>
            <w:r>
              <w:t>A purpose limitation clause in the contract with a technical control behind it — not just 'we won't', but a configuration the vendor cannot change without a council resolution. And an annual public statement of every purpose the data has been used for, including refused requests. Both are ordinary in other sectors.</w:t>
            </w:r>
          </w:p>
        </w:tc>
      </w:tr>
      <w:tr>
        <w:tc>
          <w:tcPr>
            <w:tcW w:type="dxa" w:w="4320"/>
          </w:tcPr>
          <w:p>
            <w:r>
              <w:t>Interviewer</w:t>
            </w:r>
          </w:p>
        </w:tc>
        <w:tc>
          <w:tcPr>
            <w:tcW w:type="dxa" w:w="4320"/>
          </w:tcPr>
          <w:p>
            <w:r>
              <w:t>What response did you get?</w:t>
            </w:r>
          </w:p>
        </w:tc>
      </w:tr>
      <w:tr>
        <w:tc>
          <w:tcPr>
            <w:tcW w:type="dxa" w:w="4320"/>
          </w:tcPr>
          <w:p>
            <w:r>
              <w:t>Respondent</w:t>
            </w:r>
          </w:p>
        </w:tc>
        <w:tc>
          <w:tcPr>
            <w:tcW w:type="dxa" w:w="4320"/>
          </w:tcPr>
          <w:p>
            <w:r>
              <w:t>We got a two-page letter which restated the existing data protection position and did not address either request. I want to be precise: it wasn't a refusal. Nobody said no. The letter simply answered a different question. That's the most common response we get and it's the hardest to escalate, because on paper we were answered.</w:t>
            </w:r>
          </w:p>
        </w:tc>
      </w:tr>
      <w:tr>
        <w:tc>
          <w:tcPr>
            <w:tcW w:type="dxa" w:w="4320"/>
          </w:tcPr>
          <w:p>
            <w:r>
              <w:t>Interviewer</w:t>
            </w:r>
          </w:p>
        </w:tc>
        <w:tc>
          <w:tcPr>
            <w:tcW w:type="dxa" w:w="4320"/>
          </w:tcPr>
          <w:p>
            <w:r>
              <w:t>Have you worked with other groups on this?</w:t>
            </w:r>
          </w:p>
        </w:tc>
      </w:tr>
      <w:tr>
        <w:tc>
          <w:tcPr>
            <w:tcW w:type="dxa" w:w="4320"/>
          </w:tcPr>
          <w:p>
            <w:r>
              <w:t>Respondent</w:t>
            </w:r>
          </w:p>
        </w:tc>
        <w:tc>
          <w:tcPr>
            <w:tcW w:type="dxa" w:w="4320"/>
          </w:tcPr>
          <w:p>
            <w:r>
              <w:t>Yes, and that's been the more productive part. We ran a joint session with the disability organisation and the residents' association — about forty people, in a community hall, no slides. We learned more in two hours than in a year of correspondence, and the disability group's point about slower pedestrians is now in everything we write, which it wasn't before.</w:t>
            </w:r>
          </w:p>
        </w:tc>
      </w:tr>
      <w:tr>
        <w:tc>
          <w:tcPr>
            <w:tcW w:type="dxa" w:w="4320"/>
          </w:tcPr>
          <w:p>
            <w:r>
              <w:t>Interviewer</w:t>
            </w:r>
          </w:p>
        </w:tc>
        <w:tc>
          <w:tcPr>
            <w:tcW w:type="dxa" w:w="4320"/>
          </w:tcPr>
          <w:p>
            <w:r>
              <w:t>What would count as success?</w:t>
            </w:r>
          </w:p>
        </w:tc>
      </w:tr>
      <w:tr>
        <w:tc>
          <w:tcPr>
            <w:tcW w:type="dxa" w:w="4320"/>
          </w:tcPr>
          <w:p>
            <w:r>
              <w:t>Respondent</w:t>
            </w:r>
          </w:p>
        </w:tc>
        <w:tc>
          <w:tcPr>
            <w:tcW w:type="dxa" w:w="4320"/>
          </w:tcPr>
          <w:p>
            <w:r>
              <w:t>A published purpose register that somebody outside the council updates. Not us — we're not neutral and we shouldn't be trusted with it either. That's the part campaigners get wrong: we ask for oversight and then assume we're the oversight.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