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after="60"/>
      </w:pPr>
      <w:r>
        <w:rPr>
          <w:b/>
          <w:sz w:val="44"/>
        </w:rPr>
        <w:t>JACOB NIKOLAU</w:t>
      </w:r>
    </w:p>
    <w:p>
      <w:pPr>
        <w:keepNext/>
        <w:widowControl/>
      </w:pPr>
      <w:r>
        <w:rPr>
          <w:b/>
          <w:sz w:val="21"/>
        </w:rPr>
        <w:t>Product Marketing | AI &amp; Technical B2B Software</w:t>
      </w:r>
    </w:p>
    <w:p>
      <w:pPr>
        <w:keepNext/>
        <w:widowControl/>
        <w:spacing w:after="100"/>
      </w:pPr>
      <w:r>
        <w:rPr>
          <w:sz w:val="19"/>
        </w:rPr>
        <w:t xml:space="preserve">New York, NY | jacobnikolau767@gmail.com | 310-985-4638 | </w:t>
      </w:r>
      <w:hyperlink r:id="rId9">
        <w:r>
          <w:rPr>
            <w:sz w:val="19"/>
            <w:color w:val="243B53"/>
            <w:u w:val="single"/>
          </w:rPr>
          <w:t>github.com/NYCandrun</w:t>
        </w:r>
      </w:hyperlink>
      <w:r>
        <w:rPr>
          <w:sz w:val="19"/>
        </w:rPr>
      </w:r>
    </w:p>
    <w:p>
      <w:pPr>
        <w:keepNext/>
        <w:widowControl/>
        <w:spacing w:before="120" w:after="60"/>
      </w:pPr>
      <w:r>
        <w:rPr>
          <w:b/>
          <w:color w:val="243B53"/>
          <w:sz w:val="20"/>
        </w:rPr>
        <w:t>SUMMARY</w:t>
      </w:r>
    </w:p>
    <w:p>
      <w:pPr>
        <w:widowControl/>
      </w:pPr>
      <w:r>
        <w:t>Product marketer for AI and enterprise software, twice the first marketer at a startup. I work with CEOs, product teams, and customers to reconcile product capabilities and internal expectations with market realities and the needs of an individual account. I build frameworks, narratives, and customer evidence that help people agree on goals, set expectations, and recognize results. I love working through that complexity and helping customers make the case for the value they get.</w:t>
      </w:r>
    </w:p>
    <w:p>
      <w:pPr>
        <w:keepNext/>
        <w:widowControl/>
        <w:spacing w:before="120" w:after="60"/>
      </w:pPr>
      <w:r>
        <w:rPr>
          <w:b/>
          <w:color w:val="243B53"/>
          <w:sz w:val="20"/>
        </w:rPr>
        <w:t>PROFESSIONAL EXPERIENCE</w:t>
      </w:r>
    </w:p>
    <w:p>
      <w:pPr>
        <w:keepNext/>
        <w:widowControl/>
        <w:spacing w:before="100" w:after="40"/>
      </w:pPr>
      <w:r>
        <w:rPr>
          <w:b/>
        </w:rPr>
        <w:t>Mosaic | Director of Marketing</w:t>
      </w:r>
    </w:p>
    <w:p>
      <w:pPr>
        <w:keepNext/>
        <w:widowControl/>
        <w:spacing w:after="80"/>
      </w:pPr>
      <w:r>
        <w:rPr>
          <w:i/>
          <w:sz w:val="19"/>
        </w:rPr>
        <w:t>AI operations and resource-management software | May 2025 – Jul 2026</w:t>
      </w:r>
    </w:p>
    <w:p>
      <w:pPr>
        <w:pStyle w:val="ListBullet"/>
        <w:widowControl/>
        <w:spacing w:after="60"/>
        <w:ind w:left="187" w:hanging="187"/>
      </w:pPr>
      <w:r>
        <w:t>Built Claude skills to turn sales-call objections, competitor mentions, and customer outcomes into reusable evidence, reducing case-study production from 50 hours to 5 using a RevOps-built Gong/Salesforce integration.</w:t>
      </w:r>
    </w:p>
    <w:p>
      <w:pPr>
        <w:pStyle w:val="ListBullet"/>
        <w:widowControl/>
        <w:spacing w:after="60"/>
        <w:ind w:left="187" w:hanging="187"/>
      </w:pPr>
      <w:r>
        <w:t>Positioned Chello, Mosaic’s AI resource-management agent, around operations leaders’ priorities; created sales talk tracks distinguishing live capabilities from roadmap commitments.</w:t>
      </w:r>
    </w:p>
    <w:p>
      <w:pPr>
        <w:pStyle w:val="ListBullet"/>
        <w:widowControl/>
        <w:spacing w:after="60"/>
        <w:ind w:left="187" w:hanging="187"/>
      </w:pPr>
      <w:r>
        <w:t>Founded the 21-member Manage Better Board for architecture and engineering operators; ran six executive roundtables and industry sessions where customers shared workflows and results.</w:t>
      </w:r>
    </w:p>
    <w:p>
      <w:pPr>
        <w:pStyle w:val="ListBullet"/>
        <w:widowControl/>
        <w:spacing w:after="60"/>
        <w:ind w:left="187" w:hanging="187"/>
      </w:pPr>
      <w:r>
        <w:t>Worked with customers on six approved case studies with ROI calculations, giving customers and sales teams evidence to explain business value.</w:t>
      </w:r>
    </w:p>
    <w:p>
      <w:pPr>
        <w:pStyle w:val="ListBullet"/>
        <w:widowControl/>
        <w:spacing w:after="60"/>
        <w:ind w:left="187" w:hanging="187"/>
      </w:pPr>
      <w:r>
        <w:t>Rebuilt attribution using an LLM-driven workflow that matched attendee emails across 2,190 sales calls to deal contacts and sourcing teams.</w:t>
      </w:r>
    </w:p>
    <w:p>
      <w:pPr>
        <w:pStyle w:val="ListBullet"/>
        <w:widowControl/>
        <w:spacing w:after="60"/>
        <w:ind w:left="187" w:hanging="187"/>
      </w:pPr>
      <w:r>
        <w:t>Led a three-person marketing team plus agencies as Mosaic’s first marketer; grew marketing-sourced opportunities from 68 to 238 per quarter across research, content, events, and campaigns.</w:t>
      </w:r>
    </w:p>
    <w:p>
      <w:pPr>
        <w:pStyle w:val="ListBullet"/>
        <w:widowControl/>
        <w:spacing w:after="60"/>
        <w:ind w:left="187" w:hanging="187"/>
      </w:pPr>
      <w:r>
        <w:t>Managed approximately $130K in quarterly media and sponsorship spend; shifted budget toward webinars after finding that their cost per sales-accepted opportunity was 83% lower than paid digital.</w:t>
      </w:r>
    </w:p>
    <w:p>
      <w:pPr>
        <w:pStyle w:val="ListBullet"/>
        <w:widowControl/>
        <w:spacing w:after="60"/>
        <w:ind w:left="187" w:hanging="187"/>
      </w:pPr>
      <w:r>
        <w:t>Directed AI-assisted research across 13 architecture, engineering, and construction sub-industries; recommended sector-specific positioning and built a sales-development playbook grounded in observable prospect signals.</w:t>
      </w:r>
    </w:p>
    <w:p>
      <w:pPr>
        <w:pStyle w:val="ListBullet"/>
        <w:widowControl/>
        <w:spacing w:after="60"/>
        <w:ind w:left="187" w:hanging="187"/>
      </w:pPr>
      <w:r>
        <w:t>Designed and fielded a 138-person survey and co-authored The State of AI in A&amp;E 2026, examining AI adoption among architecture and engineering professionals.</w:t>
      </w:r>
    </w:p>
    <w:p>
      <w:pPr>
        <w:keepNext/>
        <w:widowControl/>
        <w:spacing w:before="100" w:after="40"/>
      </w:pPr>
      <w:r>
        <w:rPr>
          <w:b/>
        </w:rPr>
        <w:t>BitcoinComputer.io | Head of Growth, Product Marketing (Consultant)</w:t>
      </w:r>
    </w:p>
    <w:p>
      <w:pPr>
        <w:keepNext/>
        <w:widowControl/>
        <w:spacing w:after="80"/>
      </w:pPr>
      <w:r>
        <w:rPr>
          <w:i/>
          <w:sz w:val="19"/>
        </w:rPr>
        <w:t>Bitcoin smart-contract platform | Aug 2024 – May 2025</w:t>
      </w:r>
    </w:p>
    <w:p>
      <w:pPr>
        <w:pStyle w:val="ListBullet"/>
        <w:widowControl/>
        <w:spacing w:after="60"/>
        <w:ind w:left="187" w:hanging="187"/>
      </w:pPr>
      <w:r>
        <w:t>Served as the first and sole marketer for a pre-revenue platform; wrote a messaging framework defining target audiences, value proposition, differentiators, and competitive positioning.</w:t>
      </w:r>
    </w:p>
    <w:p>
      <w:pPr>
        <w:pStyle w:val="ListBullet"/>
        <w:widowControl/>
        <w:spacing w:after="60"/>
        <w:ind w:left="187" w:hanging="187"/>
      </w:pPr>
      <w:r>
        <w:t>Translated the platform’s architecture into website content for technical and business evaluation; researched competing protocols and regulatory considerations for skill gaming to clarify product tradeoffs.</w:t>
      </w:r>
    </w:p>
    <w:p>
      <w:pPr>
        <w:keepNext/>
        <w:widowControl/>
        <w:spacing w:before="100" w:after="40"/>
      </w:pPr>
      <w:r>
        <w:rPr>
          <w:b/>
        </w:rPr>
        <w:t>NovoEd | Head of Product Marketing</w:t>
      </w:r>
    </w:p>
    <w:p>
      <w:pPr>
        <w:keepNext/>
        <w:widowControl/>
        <w:spacing w:after="80"/>
      </w:pPr>
      <w:r>
        <w:rPr>
          <w:i/>
          <w:sz w:val="19"/>
        </w:rPr>
        <w:t>Enterprise learning platform | Apr 2023 – Aug 2024</w:t>
      </w:r>
    </w:p>
    <w:p>
      <w:pPr>
        <w:pStyle w:val="ListBullet"/>
        <w:widowControl/>
        <w:spacing w:after="60"/>
        <w:ind w:left="187" w:hanging="187"/>
      </w:pPr>
      <w:r>
        <w:t>Owned positioning and sales enablement for the AI Translation launch, partnering with Sales and Customer Success on rollout. The feature reached about 100,000 learners in its first year and drove over $1M in expansion revenue across CEMEX and Marriott.</w:t>
      </w:r>
    </w:p>
    <w:p>
      <w:pPr>
        <w:pStyle w:val="ListBullet"/>
        <w:widowControl/>
        <w:spacing w:after="60"/>
        <w:ind w:left="187" w:hanging="187"/>
      </w:pPr>
      <w:r>
        <w:t>Built messaging and features-to-value frameworks for business buyers and technical evaluators in 12–24-month sales cycles, including regulated accounts such as Goldman Sachs and Capital Group.</w:t>
      </w:r>
    </w:p>
    <w:p>
      <w:pPr>
        <w:pStyle w:val="ListBullet"/>
        <w:widowControl/>
        <w:spacing w:after="60"/>
        <w:ind w:left="187" w:hanging="187"/>
      </w:pPr>
      <w:r>
        <w:t>Built a customer-story and reference program across 15 enterprise customers and managed customer legal approvals; arranged for Marriott’s CHRO to present the engagement at Josh Bersin’s conference.</w:t>
      </w:r>
    </w:p>
    <w:p>
      <w:pPr>
        <w:pStyle w:val="ListBullet"/>
        <w:widowControl/>
        <w:spacing w:after="60"/>
        <w:ind w:left="187" w:hanging="187"/>
      </w:pPr>
      <w:r>
        <w:t>Ran analyst relations with Gartner and Forrester; earned a Craig Weiss Top 10 Learning Systems placement.</w:t>
      </w:r>
    </w:p>
    <w:p>
      <w:r>
        <w:br w:type="page"/>
      </w:r>
    </w:p>
    <w:p>
      <w:pPr>
        <w:keepNext/>
        <w:widowControl/>
        <w:spacing w:before="120" w:after="60"/>
      </w:pPr>
      <w:r>
        <w:rPr>
          <w:b/>
          <w:color w:val="243B53"/>
          <w:sz w:val="20"/>
        </w:rPr>
        <w:t>PROFESSIONAL EXPERIENCE, CONTINUED</w:t>
      </w:r>
    </w:p>
    <w:p>
      <w:pPr>
        <w:keepNext/>
        <w:widowControl/>
        <w:spacing w:before="100" w:after="40"/>
      </w:pPr>
      <w:r>
        <w:rPr>
          <w:b/>
        </w:rPr>
        <w:t>NovoEd | Marketing Strategy Manager</w:t>
      </w:r>
    </w:p>
    <w:p>
      <w:pPr>
        <w:keepNext/>
        <w:widowControl/>
        <w:spacing w:after="80"/>
      </w:pPr>
      <w:r>
        <w:rPr>
          <w:i/>
          <w:sz w:val="19"/>
        </w:rPr>
        <w:t>Oct 2021 – Apr 2023</w:t>
      </w:r>
    </w:p>
    <w:p>
      <w:pPr>
        <w:pStyle w:val="ListBullet"/>
        <w:widowControl/>
        <w:spacing w:after="60"/>
        <w:ind w:left="187" w:hanging="187"/>
      </w:pPr>
      <w:r>
        <w:t>Developed vertical positioning and packaging for financial services, energy, manufacturing, and hospitality, informed by a jointly built market-sizing model estimating a ~$9B TAM and ~$1.4B mid-market opportunity.</w:t>
      </w:r>
    </w:p>
    <w:p>
      <w:pPr>
        <w:pStyle w:val="ListBullet"/>
        <w:widowControl/>
        <w:spacing w:after="60"/>
        <w:ind w:left="187" w:hanging="187"/>
      </w:pPr>
      <w:r>
        <w:t>Designed ROI research with Cascade Insights, including six executive interviews and a 127-person survey; translated customer-reported outcomes into a shared value framework for Sales and Customer Success.</w:t>
      </w:r>
    </w:p>
    <w:p>
      <w:pPr>
        <w:pStyle w:val="ListBullet"/>
        <w:widowControl/>
        <w:spacing w:after="60"/>
        <w:ind w:left="187" w:hanging="187"/>
      </w:pPr>
      <w:r>
        <w:t>Helped customers explain their experiences through webinars and ebooks that were the first conversion point for 33% of marketing-qualified leads and 21% of sales-qualified leads.</w:t>
      </w:r>
    </w:p>
    <w:p>
      <w:pPr>
        <w:pStyle w:val="ListBullet"/>
        <w:widowControl/>
        <w:spacing w:after="60"/>
        <w:ind w:left="187" w:hanging="187"/>
      </w:pPr>
      <w:r>
        <w:t>Authored research with Executive Networks based on a survey of 515 learning leaders across five countries, earning coverage in HR Dive and TD Magazine.</w:t>
      </w:r>
    </w:p>
    <w:p>
      <w:pPr>
        <w:keepNext/>
        <w:widowControl/>
        <w:spacing w:before="100" w:after="40"/>
      </w:pPr>
      <w:r>
        <w:rPr>
          <w:b/>
        </w:rPr>
        <w:t>Mursion | Manager, Growth Marketing</w:t>
      </w:r>
    </w:p>
    <w:p>
      <w:pPr>
        <w:keepNext/>
        <w:widowControl/>
        <w:spacing w:after="80"/>
      </w:pPr>
      <w:r>
        <w:rPr>
          <w:i/>
          <w:sz w:val="19"/>
        </w:rPr>
        <w:t>AI simulation training | Jul 2020 – Sep 2021</w:t>
      </w:r>
    </w:p>
    <w:p>
      <w:pPr>
        <w:pStyle w:val="ListBullet"/>
        <w:widowControl/>
        <w:spacing w:after="60"/>
        <w:ind w:left="187" w:hanging="187"/>
      </w:pPr>
      <w:r>
        <w:t>Built the healthcare vertical go-to-market from scratch and landed Duke University Health System; ranked first on the team in new opportunities created and was fastest to reach $3M in attributed pipeline.</w:t>
      </w:r>
    </w:p>
    <w:p>
      <w:pPr>
        <w:pStyle w:val="ListBullet"/>
        <w:widowControl/>
        <w:spacing w:after="60"/>
        <w:ind w:left="187" w:hanging="187"/>
      </w:pPr>
      <w:r>
        <w:t>Helped enterprise customers explain their use of AI simulation through webinars and live demonstrations; developed a co-branded webinar program with Google.</w:t>
      </w:r>
    </w:p>
    <w:p>
      <w:pPr>
        <w:pStyle w:val="ListBullet"/>
        <w:widowControl/>
        <w:spacing w:after="60"/>
        <w:ind w:left="187" w:hanging="187"/>
      </w:pPr>
      <w:r>
        <w:t>Authored research with Future Workplace based on a survey of 300 corporate learning leaders; Harvard Business Review built an article around the findings, and Forbes cited the study.</w:t>
      </w:r>
    </w:p>
    <w:p>
      <w:pPr>
        <w:keepNext/>
        <w:widowControl/>
        <w:spacing w:before="100" w:after="40"/>
      </w:pPr>
      <w:r>
        <w:rPr>
          <w:b/>
        </w:rPr>
        <w:t>Feedonomics | Growth Engineer</w:t>
      </w:r>
    </w:p>
    <w:p>
      <w:pPr>
        <w:keepNext/>
        <w:widowControl/>
        <w:spacing w:after="80"/>
      </w:pPr>
      <w:r>
        <w:rPr>
          <w:i/>
          <w:sz w:val="19"/>
        </w:rPr>
        <w:t>Commerce data and feed-integration software | Aug 2018 – Jul 2020</w:t>
      </w:r>
    </w:p>
    <w:p>
      <w:pPr>
        <w:pStyle w:val="ListBullet"/>
        <w:widowControl/>
        <w:spacing w:after="60"/>
        <w:ind w:left="187" w:hanging="187"/>
      </w:pPr>
      <w:r>
        <w:t>Owned first-touch qualification for enterprise and mid-market prospects; used sales-conversation patterns to improve messaging and worked with RevOps on lead scoring, funnel tracking, and response time.</w:t>
      </w:r>
    </w:p>
    <w:p>
      <w:pPr>
        <w:keepNext/>
        <w:widowControl/>
        <w:spacing w:before="120" w:after="60"/>
      </w:pPr>
      <w:r>
        <w:rPr>
          <w:b/>
          <w:color w:val="243B53"/>
          <w:sz w:val="20"/>
        </w:rPr>
        <w:t>SELECTED APPLIED AI WORK</w:t>
      </w:r>
    </w:p>
    <w:p>
      <w:pPr>
        <w:keepNext/>
        <w:widowControl/>
        <w:spacing w:before="100" w:after="40"/>
      </w:pPr>
      <w:r>
        <w:rPr>
          <w:b/>
        </w:rPr>
        <w:t>Independent Projects | 2026</w:t>
      </w:r>
    </w:p>
    <w:p>
      <w:pPr>
        <w:widowControl/>
      </w:pPr>
      <w:r>
        <w:t>Built self-directed tools and prototypes with Claude Code and Codex to understand how products work, make their value tangible, and turn customer conversations into usable evidence.</w:t>
      </w:r>
    </w:p>
    <w:p>
      <w:pPr>
        <w:pStyle w:val="ListBullet"/>
        <w:widowControl/>
        <w:spacing w:after="60"/>
        <w:ind w:left="187" w:hanging="187"/>
      </w:pPr>
      <w:r/>
      <w:hyperlink r:id="rId10">
        <w:r>
          <w:rPr>
            <w:sz w:val="21"/>
            <w:color w:val="243B53"/>
            <w:u w:val="single"/>
          </w:rPr>
          <w:t>Customer research tools</w:t>
        </w:r>
      </w:hyperlink>
      <w:r>
        <w:rPr>
          <w:sz w:val="21"/>
        </w:rPr>
        <w:t>: Desktop Gong/Grain transcript downloader and Markdown merger, plus case-study agents that organize conversations by account, preserve source attribution, and produce drafts and quote exports.</w:t>
      </w:r>
    </w:p>
    <w:p>
      <w:pPr>
        <w:pStyle w:val="ListBullet"/>
        <w:widowControl/>
        <w:spacing w:after="60"/>
        <w:ind w:left="187" w:hanging="187"/>
      </w:pPr>
      <w:r/>
      <w:hyperlink r:id="rId11">
        <w:r>
          <w:rPr>
            <w:sz w:val="21"/>
            <w:color w:val="243B53"/>
            <w:u w:val="single"/>
          </w:rPr>
          <w:t>Interactive product demos</w:t>
        </w:r>
      </w:hyperlink>
      <w:r>
        <w:rPr>
          <w:sz w:val="21"/>
        </w:rPr>
        <w:t>: Liquid AI-inspired games and demos exploring on-device versus cloud AI, plus an Ashby-inspired recruiting game showing how data quality shapes decisions.</w:t>
      </w:r>
    </w:p>
    <w:p>
      <w:pPr>
        <w:pStyle w:val="ListBullet"/>
        <w:widowControl/>
        <w:spacing w:after="60"/>
        <w:ind w:left="187" w:hanging="187"/>
      </w:pPr>
      <w:r/>
      <w:hyperlink r:id="rId12">
        <w:r>
          <w:rPr>
            <w:sz w:val="21"/>
            <w:color w:val="243B53"/>
            <w:u w:val="single"/>
          </w:rPr>
          <w:t>BlackRock Aladdin guide</w:t>
        </w:r>
      </w:hyperlink>
      <w:r>
        <w:rPr>
          <w:sz w:val="21"/>
        </w:rPr>
        <w:t>: Interactive lessons and executive briefings translating public API specifications and product research into an explanation of the platform and its business value.</w:t>
      </w:r>
    </w:p>
    <w:p>
      <w:pPr>
        <w:pStyle w:val="ListBullet"/>
        <w:widowControl/>
        <w:spacing w:after="60"/>
        <w:ind w:left="187" w:hanging="187"/>
      </w:pPr>
      <w:r/>
      <w:hyperlink r:id="rId13">
        <w:r>
          <w:rPr>
            <w:sz w:val="21"/>
            <w:color w:val="243B53"/>
            <w:u w:val="single"/>
          </w:rPr>
          <w:t>Etta</w:t>
        </w:r>
      </w:hyperlink>
      <w:r>
        <w:rPr>
          <w:sz w:val="21"/>
        </w:rPr>
        <w:t>: Desktop learning app combining Claude-generated lessons and quizzes with prerequisite progression, mastery tracking, and spaced review, from algebra through astrophysics.</w:t>
      </w:r>
    </w:p>
    <w:p>
      <w:pPr>
        <w:pStyle w:val="ListBullet"/>
        <w:widowControl/>
        <w:spacing w:after="60"/>
        <w:ind w:left="187" w:hanging="187"/>
      </w:pPr>
      <w:r>
        <w:t>Compute marketplace: Fixed-price AI-job workflows and a 517-company competitive dossier testing the business case for verified results and buyer recourse.</w:t>
      </w:r>
    </w:p>
    <w:p>
      <w:pPr>
        <w:pStyle w:val="ListBullet"/>
        <w:widowControl/>
        <w:spacing w:after="60"/>
        <w:ind w:left="187" w:hanging="187"/>
      </w:pPr>
      <w:r/>
      <w:hyperlink r:id="rId14">
        <w:r>
          <w:rPr>
            <w:sz w:val="21"/>
            <w:color w:val="243B53"/>
            <w:u w:val="single"/>
          </w:rPr>
          <w:t>Company research workflows</w:t>
        </w:r>
      </w:hyperlink>
      <w:r>
        <w:rPr>
          <w:sz w:val="21"/>
        </w:rPr>
        <w:t>: Source collection, citation checks, and independent review for company briefs, with controls that stop completion when required evidence is missing.</w:t>
      </w:r>
    </w:p>
    <w:p>
      <w:pPr>
        <w:pStyle w:val="ListBullet"/>
        <w:widowControl/>
        <w:spacing w:after="60"/>
        <w:ind w:left="187" w:hanging="187"/>
      </w:pPr>
      <w:r>
        <w:t>Model evaluation: Vision-language-model benchmark comparing small models; found that prompt formatting could shift accuracy by about 30 percentage points on a hallucination benchmark.</w:t>
      </w:r>
    </w:p>
    <w:p>
      <w:pPr>
        <w:pStyle w:val="ListBullet"/>
        <w:widowControl/>
        <w:spacing w:after="60"/>
        <w:ind w:left="187" w:hanging="187"/>
      </w:pPr>
      <w:r/>
      <w:hyperlink r:id="rId15">
        <w:r>
          <w:rPr>
            <w:sz w:val="21"/>
            <w:color w:val="243B53"/>
            <w:u w:val="single"/>
          </w:rPr>
          <w:t>A&amp;E job board</w:t>
        </w:r>
      </w:hyperlink>
      <w:r>
        <w:rPr>
          <w:sz w:val="21"/>
        </w:rPr>
        <w:t>: Automated job discovery, filtering, AI enrichment, and Webflow publishing, with stale-listing handling and a desktop monitoring app.</w:t>
      </w:r>
    </w:p>
    <w:p>
      <w:pPr>
        <w:keepNext/>
        <w:widowControl/>
        <w:spacing w:before="120" w:after="60"/>
      </w:pPr>
      <w:r>
        <w:rPr>
          <w:b/>
          <w:color w:val="243B53"/>
          <w:sz w:val="20"/>
        </w:rPr>
        <w:t>SKILLS &amp; TOOLS</w:t>
      </w:r>
    </w:p>
    <w:p>
      <w:pPr>
        <w:widowControl/>
      </w:pPr>
      <w:r>
        <w:t>Positioning, value frameworks, customer research and advocacy, market sizing, competitive analysis, AI workflows, model evaluation. Claude, Claude Code, Codex, Gong, Salesforce, HubSpot.</w:t>
      </w:r>
    </w:p>
    <w:p>
      <w:pPr>
        <w:keepNext/>
        <w:widowControl/>
        <w:spacing w:before="120" w:after="60"/>
      </w:pPr>
      <w:r>
        <w:rPr>
          <w:b/>
          <w:color w:val="243B53"/>
          <w:sz w:val="20"/>
        </w:rPr>
        <w:t>EDUCATION</w:t>
      </w:r>
    </w:p>
    <w:p>
      <w:pPr>
        <w:widowControl/>
      </w:pPr>
      <w:r>
        <w:t>University of California, Berkeley — BA, Geography; dual concentration in Earth &amp; Planetary Science and Environmental Economics.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NYCandrun" TargetMode="External"/><Relationship Id="rId10" Type="http://schemas.openxmlformats.org/officeDocument/2006/relationships/hyperlink" Target="https://github.com/jacobn-a11y/Transcript-Project-" TargetMode="External"/><Relationship Id="rId11" Type="http://schemas.openxmlformats.org/officeDocument/2006/relationships/hyperlink" Target="https://github.com/NYCandrun/ai_game" TargetMode="External"/><Relationship Id="rId12" Type="http://schemas.openxmlformats.org/officeDocument/2006/relationships/hyperlink" Target="https://github.com/NYCandrun/ai_game/tree/blackrock-aladdin-research/blackrock-aladdin" TargetMode="External"/><Relationship Id="rId13" Type="http://schemas.openxmlformats.org/officeDocument/2006/relationships/hyperlink" Target="https://github.com/NYCandrun/etta_app_update" TargetMode="External"/><Relationship Id="rId14" Type="http://schemas.openxmlformats.org/officeDocument/2006/relationships/hyperlink" Target="https://github.com/NYCandrun/genesis/tree/template/clean-research-workflow" TargetMode="External"/><Relationship Id="rId15" Type="http://schemas.openxmlformats.org/officeDocument/2006/relationships/hyperlink" Target="https://github.com/jacobn-a11y/jobbo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Jacob Nikolau — Ode, Associate Principal, AI Transformation</dc:title>
  <dc:subject/>
  <dc:creator>Jacob Nikolau</dc:creator>
  <cp:keywords/>
  <dc:description>generated by python-docx</dc:description>
  <cp:lastModifiedBy/>
  <cp:revision>1</cp:revision>
  <dcterms:created xsi:type="dcterms:W3CDTF">2013-12-23T23:15:00Z</dcterms:created>
  <dcterms:modified xsi:type="dcterms:W3CDTF">2013-12-23T23:15:00Z</dcterms:modified>
  <cp:category/>
</cp:coreProperties>
</file>