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A9A5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整车模型采用Mathwords官网提供的十四自由度模型“Vehicle Dynamics Simulation Environment”</w:t>
      </w:r>
    </w:p>
    <w:p w14:paraId="5905B8FF">
      <w:r>
        <w:drawing>
          <wp:inline distT="0" distB="0" distL="114300" distR="114300">
            <wp:extent cx="5272405" cy="239649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AE0C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对照本赛季E34赛车的设计参数和动力配置，新增和修改vehicle parameter.m文件的参数，在Simulink中构建E34的十四自由度整车模型。</w:t>
      </w:r>
    </w:p>
    <w:p w14:paraId="7707ABC9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523367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D22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四自由度的Powertrain部分，我们搭建了前双AMK电机＋后单Emrax228电机的三电机动力系统，其中RearRatio的值是后轮轮上扭矩输出的占比比值。AMK和Emrax228电机拥有各自不同的外特性曲线，且前轮和后轮的传动比不同，前轮传动比为11.42，后轮传动比为3.727。如图为适配本赛季E34赛车的动力传动模型。</w:t>
      </w:r>
    </w:p>
    <w:p w14:paraId="125FD3B6">
      <w:r>
        <w:drawing>
          <wp:inline distT="0" distB="0" distL="114300" distR="114300">
            <wp:extent cx="5273040" cy="236601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767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新建一个子系统“VCU”用于测试我们搭建好的算法。</w:t>
      </w:r>
    </w:p>
    <w:p w14:paraId="3A53BE69">
      <w:r>
        <w:drawing>
          <wp:inline distT="0" distB="0" distL="114300" distR="114300">
            <wp:extent cx="5266690" cy="237299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8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TCS模块</w:t>
      </w:r>
    </w:p>
    <w:p w14:paraId="47B6428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3799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C50F">
      <w:pPr>
        <w:rPr>
          <w:rFonts w:hint="default"/>
          <w:lang w:val="en-US" w:eastAsia="zh-CN"/>
        </w:rPr>
      </w:pPr>
    </w:p>
    <w:p w14:paraId="199398FB">
      <w:pPr>
        <w:rPr>
          <w:rFonts w:hint="default"/>
          <w:lang w:val="en-US" w:eastAsia="zh-CN"/>
        </w:rPr>
      </w:pPr>
    </w:p>
    <w:p w14:paraId="102AC4D2">
      <w:pPr>
        <w:rPr>
          <w:rFonts w:hint="default"/>
          <w:lang w:val="en-US" w:eastAsia="zh-CN"/>
        </w:rPr>
      </w:pPr>
    </w:p>
    <w:p w14:paraId="1E88FC29">
      <w:pPr>
        <w:rPr>
          <w:rFonts w:hint="default"/>
          <w:lang w:val="en-US" w:eastAsia="zh-CN"/>
        </w:rPr>
      </w:pPr>
    </w:p>
    <w:p w14:paraId="70E57D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十四自由度整车模型75m直线加速工况仿真结果：</w:t>
      </w:r>
    </w:p>
    <w:p w14:paraId="424BB6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可见牵引力控制系统的介入，显著抑制赛车在急加速工况时驱动轮的打滑趋势。</w:t>
      </w:r>
    </w:p>
    <w:p w14:paraId="58D374A8">
      <w:pPr>
        <w:rPr>
          <w:rFonts w:hint="default"/>
          <w:lang w:val="en-US" w:eastAsia="zh-CN"/>
        </w:rPr>
      </w:pPr>
    </w:p>
    <w:p w14:paraId="7A63E0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084830"/>
            <wp:effectExtent l="0" t="0" r="5715" b="8890"/>
            <wp:docPr id="6" name="图片 6" descr="T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C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562">
      <w:pPr>
        <w:rPr>
          <w:rFonts w:hint="default"/>
          <w:lang w:val="en-US" w:eastAsia="zh-CN"/>
        </w:rPr>
      </w:pPr>
      <w:bookmarkStart w:id="0" w:name="_GoBack"/>
      <w:bookmarkEnd w:id="0"/>
    </w:p>
    <w:p w14:paraId="4AFFBE03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1MDk5OWM5MDI5OTcwNTIzNTVhOTY0YWU1MzFkMzUifQ=="/>
  </w:docVars>
  <w:rsids>
    <w:rsidRoot w:val="498F3378"/>
    <w:rsid w:val="498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2024-10-08T11:25:00Z</dcterms:created>
  <dc:creator>张家磊eq</dc:creator>
  <cp:lastModifiedBy>张家磊eq</cp:lastModifiedBy>
  <dcterms:modified xsi:type="dcterms:W3CDTF">2024-10-09T18:10:02Z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1288772FAFFD49C0AD5138379D112108_11</vt:lpwstr>
  </property>
</Properties>
</file>