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PWYM: collaboration, interaction and the long tail</w:t>
      </w:r>
    </w:p>
    <w:p>
      <w:pPr>
        <w:spacing w:after="280"/>
      </w:pPr>
      <w:r>
        <w:rPr>
          <w:color w:val="617785"/>
          <w:sz w:val="20"/>
        </w:rPr>
        <w:t>Expanded internal review • 20 October 2026 • Private-message derivative, 2014–2020</w:t>
      </w:r>
    </w:p>
    <w:p>
      <w:pPr/>
      <w:r>
        <w:rPr>
          <w:b w:val="0"/>
          <w:i w:val="0"/>
        </w:rPr>
        <w:t>The strongest finding is a gap between making contact and documenting sustained collaborative work. The archive records welcomes, orientation questions, offers of help, invitations, resource exchange and attempts to coordinate. It gives much weaker evidence about what happened after people connected, whether a piece of music was revised, or what anyone learned.</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360"/>
            <w:shd w:fill="173247"/>
          </w:tcPr>
          <w:p>
            <w:pPr>
              <w:spacing w:after="80" w:before="80"/>
            </w:pPr>
            <w:r>
              <w:rPr>
                <w:b/>
                <w:color w:val="FFFFFF"/>
                <w:sz w:val="18"/>
              </w:rPr>
              <w:t>Private topics</w:t>
            </w:r>
          </w:p>
        </w:tc>
        <w:tc>
          <w:tcPr>
            <w:tcW w:type="dxa" w:w="3360"/>
            <w:shd w:fill="173247"/>
          </w:tcPr>
          <w:p>
            <w:pPr>
              <w:spacing w:after="80" w:before="80"/>
            </w:pPr>
            <w:r>
              <w:rPr>
                <w:b/>
                <w:color w:val="FFFFFF"/>
                <w:sz w:val="18"/>
              </w:rPr>
              <w:t>Private posts</w:t>
            </w:r>
          </w:p>
        </w:tc>
        <w:tc>
          <w:tcPr>
            <w:tcW w:type="dxa" w:w="3360"/>
            <w:shd w:fill="173247"/>
          </w:tcPr>
          <w:p>
            <w:pPr>
              <w:spacing w:after="80" w:before="80"/>
            </w:pPr>
            <w:r>
              <w:rPr>
                <w:b/>
                <w:color w:val="FFFFFF"/>
                <w:sz w:val="18"/>
              </w:rPr>
              <w:t>Multipost topics</w:t>
            </w:r>
          </w:p>
        </w:tc>
      </w:tr>
      <w:tr>
        <w:trPr>
          <w:cantSplit/>
        </w:trPr>
        <w:tc>
          <w:tcPr>
            <w:tcW w:type="dxa" w:w="3360"/>
            <w:shd w:fill="EEF3F5"/>
          </w:tcPr>
          <w:p>
            <w:pPr>
              <w:spacing w:after="80" w:before="80"/>
            </w:pPr>
            <w:r>
              <w:rPr>
                <w:b w:val="0"/>
                <w:color w:val="263645"/>
                <w:sz w:val="18"/>
              </w:rPr>
              <w:t>2,264</w:t>
            </w:r>
          </w:p>
        </w:tc>
        <w:tc>
          <w:tcPr>
            <w:tcW w:type="dxa" w:w="3360"/>
            <w:shd w:fill="EEF3F5"/>
          </w:tcPr>
          <w:p>
            <w:pPr>
              <w:spacing w:after="80" w:before="80"/>
            </w:pPr>
            <w:r>
              <w:rPr>
                <w:b w:val="0"/>
                <w:color w:val="263645"/>
                <w:sz w:val="18"/>
              </w:rPr>
              <w:t>2,373</w:t>
            </w:r>
          </w:p>
        </w:tc>
        <w:tc>
          <w:tcPr>
            <w:tcW w:type="dxa" w:w="3360"/>
            <w:shd w:fill="EEF3F5"/>
          </w:tcPr>
          <w:p>
            <w:pPr>
              <w:spacing w:after="80" w:before="80"/>
            </w:pPr>
            <w:r>
              <w:rPr>
                <w:b w:val="0"/>
                <w:color w:val="263645"/>
                <w:sz w:val="18"/>
              </w:rPr>
              <w:t>61</w:t>
            </w:r>
          </w:p>
        </w:tc>
      </w:tr>
    </w:tbl>
    <w:p>
      <w:pPr>
        <w:spacing w:after="0"/>
      </w:pPr>
    </w:p>
    <w:p>
      <w:pPr>
        <w:pStyle w:val="Heading1"/>
      </w:pPr>
      <w:r>
        <w:rPr>
          <w:b w:val="0"/>
          <w:i w:val="0"/>
        </w:rPr>
        <w:t>Is this just the Peter Gabriel version?</w:t>
      </w:r>
    </w:p>
    <w:p>
      <w:pPr/>
      <w:r>
        <w:rPr>
          <w:b w:val="0"/>
          <w:i w:val="0"/>
        </w:rPr>
        <w:t xml:space="preserve">The best-supported description is </w:t>
      </w:r>
      <w:r>
        <w:rPr>
          <w:b/>
          <w:i w:val="0"/>
        </w:rPr>
        <w:t>the PWYM community forum associated with the 2014 Peter Gabriel edition, plus later activity through 2020</w:t>
      </w:r>
      <w:r>
        <w:rPr>
          <w:b w:val="0"/>
          <w:i w:val="0"/>
        </w:rPr>
        <w:t>. The private derivative runs from April 2014 to March 2020. It is not an edition-specific cohort extract: there is no course-edition or cohort field, and individual enrollment histories were not joined.</w:t>
      </w:r>
    </w:p>
    <w:p>
      <w:pPr/>
      <w:r>
        <w:rPr>
          <w:b w:val="0"/>
          <w:i w:val="0"/>
        </w:rPr>
        <w:t>The first PWYM course ran in November 2013 and used a broader ecosystem including Google+ and SoundCloud. P2PU’s public report identifies the Peter Gabriel collaboration as PWYM 2.0, beginning May 16, 2014. The April 25, 2014 course announcement links directly to the community forum represented here and describes a more self-paced, community-focused approach. [1, 2]</w:t>
      </w:r>
    </w:p>
    <w:p>
      <w:pPr/>
      <w:r>
        <w:rPr>
          <w:b w:val="0"/>
          <w:i w:val="0"/>
        </w:rPr>
        <w:t>That connection establishes historical context, not the curriculum used by every poster. There are no 2013-dated private posts in this derivative. It cannot represent all interactions from the first course, and it cannot support a clean comparison between course editions. The 2024 backup date is the snapshot date, not the date of the conversations.</w:t>
      </w:r>
    </w:p>
    <w:p>
      <w:pPr>
        <w:pStyle w:val="Heading1"/>
      </w:pPr>
      <w:r>
        <w:rPr>
          <w:b w:val="0"/>
          <w:i w:val="0"/>
        </w:rPr>
        <w:t>What this fuller report adds</w:t>
      </w:r>
    </w:p>
    <w:p>
      <w:pPr/>
      <w:r>
        <w:rPr>
          <w:b w:val="0"/>
          <w:i w:val="0"/>
        </w:rPr>
        <w:t>It separates observed interaction patterns from design interpretations; provides a new aggregate timeline; describes the different stages of collaboration; and proposes a practical design and evaluation approach for future creative MOOCs. Proposals are hypotheses to test, not demonstrated effects of PWYM.</w:t>
      </w:r>
    </w:p>
    <w:p>
      <w:pPr/>
      <w:r>
        <w:rPr>
          <w:b w:val="0"/>
          <w:i w:val="0"/>
          <w:color w:val="617785"/>
          <w:sz w:val="17"/>
        </w:rPr>
        <w:t>Evidence boundary: private messages only. Public forum posts, external conversations and creative media were not analyzed here. No participant quotations or identifying case stories are reproduced.</w:t>
      </w:r>
    </w:p>
    <w:p>
      <w:r>
        <w:br w:type="page"/>
      </w:r>
    </w:p>
    <w:p>
      <w:pPr>
        <w:pStyle w:val="Title"/>
      </w:pPr>
      <w:r>
        <w:t>What changes over time</w:t>
      </w:r>
    </w:p>
    <w:p>
      <w:pPr>
        <w:spacing w:after="280"/>
      </w:pPr>
      <w:r>
        <w:rPr>
          <w:color w:val="617785"/>
          <w:sz w:val="20"/>
        </w:rPr>
        <w:t>A change in recorded volume and message mix is clear; a change in learning or sentiment is not.</w:t>
      </w:r>
    </w:p>
    <w:p>
      <w:r>
        <w:drawing>
          <wp:inline xmlns:a="http://schemas.openxmlformats.org/drawingml/2006/main" xmlns:pic="http://schemas.openxmlformats.org/drawingml/2006/picture">
            <wp:extent cx="6400800" cy="2319130"/>
            <wp:docPr id="1" name="Picture 1"/>
            <wp:cNvGraphicFramePr>
              <a:graphicFrameLocks noChangeAspect="1"/>
            </wp:cNvGraphicFramePr>
            <a:graphic>
              <a:graphicData uri="http://schemas.openxmlformats.org/drawingml/2006/picture">
                <pic:pic>
                  <pic:nvPicPr>
                    <pic:cNvPr id="0" name="private-post-volume.png"/>
                    <pic:cNvPicPr/>
                  </pic:nvPicPr>
                  <pic:blipFill>
                    <a:blip r:embed="rId9"/>
                    <a:stretch>
                      <a:fillRect/>
                    </a:stretch>
                  </pic:blipFill>
                  <pic:spPr>
                    <a:xfrm>
                      <a:off x="0" y="0"/>
                      <a:ext cx="6400800" cy="2319130"/>
                    </a:xfrm>
                    <a:prstGeom prst="rect"/>
                  </pic:spPr>
                </pic:pic>
              </a:graphicData>
            </a:graphic>
          </wp:inline>
        </w:drawing>
      </w:r>
    </w:p>
    <w:p>
      <w:pPr/>
      <w:r>
        <w:rPr>
          <w:b w:val="0"/>
          <w:i w:val="0"/>
          <w:color w:val="617785"/>
          <w:sz w:val="17"/>
        </w:rPr>
        <w:t>All posts are counted, including notices. The first and last calendar years are partial. These are archive counts, not learner retention rates.</w:t>
      </w:r>
    </w:p>
    <w:tbl>
      <w:tblPr>
        <w:tblW w:type="auto" w:w="0"/>
        <w:tblLayout w:type="fixed"/>
        <w:tblLook w:firstColumn="1" w:firstRow="1" w:lastColumn="0" w:lastRow="0" w:noHBand="0" w:noVBand="1" w:val="04A0"/>
      </w:tblPr>
      <w:tblGrid>
        <w:gridCol w:w="1997"/>
        <w:gridCol w:w="1522"/>
        <w:gridCol w:w="2187"/>
        <w:gridCol w:w="1997"/>
        <w:gridCol w:w="2377"/>
      </w:tblGrid>
      <w:tr>
        <w:trPr>
          <w:cantSplit/>
          <w:tblHeader/>
        </w:trPr>
        <w:tc>
          <w:tcPr>
            <w:tcW w:type="dxa" w:w="1997"/>
            <w:shd w:fill="173247"/>
          </w:tcPr>
          <w:p>
            <w:pPr>
              <w:spacing w:after="80" w:before="80"/>
            </w:pPr>
            <w:r>
              <w:rPr>
                <w:b/>
                <w:color w:val="FFFFFF"/>
                <w:sz w:val="18"/>
              </w:rPr>
              <w:t>Period</w:t>
            </w:r>
          </w:p>
        </w:tc>
        <w:tc>
          <w:tcPr>
            <w:tcW w:type="dxa" w:w="1522"/>
            <w:shd w:fill="173247"/>
          </w:tcPr>
          <w:p>
            <w:pPr>
              <w:spacing w:after="80" w:before="80"/>
            </w:pPr>
            <w:r>
              <w:rPr>
                <w:b/>
                <w:color w:val="FFFFFF"/>
                <w:sz w:val="18"/>
              </w:rPr>
              <w:t>All posts</w:t>
            </w:r>
          </w:p>
        </w:tc>
        <w:tc>
          <w:tcPr>
            <w:tcW w:type="dxa" w:w="2187"/>
            <w:shd w:fill="173247"/>
          </w:tcPr>
          <w:p>
            <w:pPr>
              <w:spacing w:after="80" w:before="80"/>
            </w:pPr>
            <w:r>
              <w:rPr>
                <w:b/>
                <w:color w:val="FFFFFF"/>
                <w:sz w:val="18"/>
              </w:rPr>
              <w:t>Repeated onboarding</w:t>
            </w:r>
          </w:p>
        </w:tc>
        <w:tc>
          <w:tcPr>
            <w:tcW w:type="dxa" w:w="1997"/>
            <w:shd w:fill="173247"/>
          </w:tcPr>
          <w:p>
            <w:pPr>
              <w:spacing w:after="80" w:before="80"/>
            </w:pPr>
            <w:r>
              <w:rPr>
                <w:b/>
                <w:color w:val="FFFFFF"/>
                <w:sz w:val="18"/>
              </w:rPr>
              <w:t>Other repeated bodies</w:t>
            </w:r>
          </w:p>
        </w:tc>
        <w:tc>
          <w:tcPr>
            <w:tcW w:type="dxa" w:w="2377"/>
            <w:shd w:fill="173247"/>
          </w:tcPr>
          <w:p>
            <w:pPr>
              <w:spacing w:after="80" w:before="80"/>
            </w:pPr>
            <w:r>
              <w:rPr>
                <w:b/>
                <w:color w:val="FFFFFF"/>
                <w:sz w:val="18"/>
              </w:rPr>
              <w:t>Outside frequent bodies</w:t>
            </w:r>
          </w:p>
        </w:tc>
      </w:tr>
      <w:tr>
        <w:trPr>
          <w:cantSplit/>
        </w:trPr>
        <w:tc>
          <w:tcPr>
            <w:tcW w:type="dxa" w:w="1997"/>
            <w:shd w:fill="EEF3F5"/>
          </w:tcPr>
          <w:p>
            <w:pPr>
              <w:spacing w:after="80" w:before="80"/>
            </w:pPr>
            <w:r>
              <w:rPr>
                <w:b w:val="0"/>
                <w:color w:val="263645"/>
                <w:sz w:val="18"/>
              </w:rPr>
              <w:t>2014</w:t>
            </w:r>
          </w:p>
        </w:tc>
        <w:tc>
          <w:tcPr>
            <w:tcW w:type="dxa" w:w="1522"/>
            <w:shd w:fill="EEF3F5"/>
          </w:tcPr>
          <w:p>
            <w:pPr>
              <w:spacing w:after="80" w:before="80"/>
            </w:pPr>
            <w:r>
              <w:rPr>
                <w:b w:val="0"/>
                <w:color w:val="263645"/>
                <w:sz w:val="18"/>
              </w:rPr>
              <w:t>1,645</w:t>
            </w:r>
          </w:p>
        </w:tc>
        <w:tc>
          <w:tcPr>
            <w:tcW w:type="dxa" w:w="2187"/>
            <w:shd w:fill="EEF3F5"/>
          </w:tcPr>
          <w:p>
            <w:pPr>
              <w:spacing w:after="80" w:before="80"/>
            </w:pPr>
            <w:r>
              <w:rPr>
                <w:b w:val="0"/>
                <w:color w:val="263645"/>
                <w:sz w:val="18"/>
              </w:rPr>
              <w:t>1,487</w:t>
            </w:r>
          </w:p>
        </w:tc>
        <w:tc>
          <w:tcPr>
            <w:tcW w:type="dxa" w:w="1997"/>
            <w:shd w:fill="EEF3F5"/>
          </w:tcPr>
          <w:p>
            <w:pPr>
              <w:spacing w:after="80" w:before="80"/>
            </w:pPr>
            <w:r>
              <w:rPr>
                <w:b w:val="0"/>
                <w:color w:val="263645"/>
                <w:sz w:val="18"/>
              </w:rPr>
              <w:t>0</w:t>
            </w:r>
          </w:p>
        </w:tc>
        <w:tc>
          <w:tcPr>
            <w:tcW w:type="dxa" w:w="2377"/>
            <w:shd w:fill="EEF3F5"/>
          </w:tcPr>
          <w:p>
            <w:pPr>
              <w:spacing w:after="80" w:before="80"/>
            </w:pPr>
            <w:r>
              <w:rPr>
                <w:b w:val="0"/>
                <w:color w:val="263645"/>
                <w:sz w:val="18"/>
              </w:rPr>
              <w:t>158</w:t>
            </w:r>
          </w:p>
        </w:tc>
      </w:tr>
      <w:tr>
        <w:trPr>
          <w:cantSplit/>
        </w:trPr>
        <w:tc>
          <w:tcPr>
            <w:tcW w:type="dxa" w:w="1997"/>
            <w:shd w:fill="FFFFFF"/>
          </w:tcPr>
          <w:p>
            <w:pPr>
              <w:spacing w:after="80" w:before="80"/>
            </w:pPr>
            <w:r>
              <w:rPr>
                <w:b w:val="0"/>
                <w:color w:val="263645"/>
                <w:sz w:val="18"/>
              </w:rPr>
              <w:t>2015–2016</w:t>
            </w:r>
          </w:p>
        </w:tc>
        <w:tc>
          <w:tcPr>
            <w:tcW w:type="dxa" w:w="1522"/>
            <w:shd w:fill="FFFFFF"/>
          </w:tcPr>
          <w:p>
            <w:pPr>
              <w:spacing w:after="80" w:before="80"/>
            </w:pPr>
            <w:r>
              <w:rPr>
                <w:b w:val="0"/>
                <w:color w:val="263645"/>
                <w:sz w:val="18"/>
              </w:rPr>
              <w:t>499</w:t>
            </w:r>
          </w:p>
        </w:tc>
        <w:tc>
          <w:tcPr>
            <w:tcW w:type="dxa" w:w="2187"/>
            <w:shd w:fill="FFFFFF"/>
          </w:tcPr>
          <w:p>
            <w:pPr>
              <w:spacing w:after="80" w:before="80"/>
            </w:pPr>
            <w:r>
              <w:rPr>
                <w:b w:val="0"/>
                <w:color w:val="263645"/>
                <w:sz w:val="18"/>
              </w:rPr>
              <w:t>387</w:t>
            </w:r>
          </w:p>
        </w:tc>
        <w:tc>
          <w:tcPr>
            <w:tcW w:type="dxa" w:w="1997"/>
            <w:shd w:fill="FFFFFF"/>
          </w:tcPr>
          <w:p>
            <w:pPr>
              <w:spacing w:after="80" w:before="80"/>
            </w:pPr>
            <w:r>
              <w:rPr>
                <w:b w:val="0"/>
                <w:color w:val="263645"/>
                <w:sz w:val="18"/>
              </w:rPr>
              <w:t>98</w:t>
            </w:r>
          </w:p>
        </w:tc>
        <w:tc>
          <w:tcPr>
            <w:tcW w:type="dxa" w:w="2377"/>
            <w:shd w:fill="FFFFFF"/>
          </w:tcPr>
          <w:p>
            <w:pPr>
              <w:spacing w:after="80" w:before="80"/>
            </w:pPr>
            <w:r>
              <w:rPr>
                <w:b w:val="0"/>
                <w:color w:val="263645"/>
                <w:sz w:val="18"/>
              </w:rPr>
              <w:t>14</w:t>
            </w:r>
          </w:p>
        </w:tc>
      </w:tr>
      <w:tr>
        <w:trPr>
          <w:cantSplit/>
        </w:trPr>
        <w:tc>
          <w:tcPr>
            <w:tcW w:type="dxa" w:w="1997"/>
            <w:shd w:fill="EEF3F5"/>
          </w:tcPr>
          <w:p>
            <w:pPr>
              <w:spacing w:after="80" w:before="80"/>
            </w:pPr>
            <w:r>
              <w:rPr>
                <w:b w:val="0"/>
                <w:color w:val="263645"/>
                <w:sz w:val="18"/>
              </w:rPr>
              <w:t>2017–2020</w:t>
            </w:r>
          </w:p>
        </w:tc>
        <w:tc>
          <w:tcPr>
            <w:tcW w:type="dxa" w:w="1522"/>
            <w:shd w:fill="EEF3F5"/>
          </w:tcPr>
          <w:p>
            <w:pPr>
              <w:spacing w:after="80" w:before="80"/>
            </w:pPr>
            <w:r>
              <w:rPr>
                <w:b w:val="0"/>
                <w:color w:val="263645"/>
                <w:sz w:val="18"/>
              </w:rPr>
              <w:t>229</w:t>
            </w:r>
          </w:p>
        </w:tc>
        <w:tc>
          <w:tcPr>
            <w:tcW w:type="dxa" w:w="2187"/>
            <w:shd w:fill="EEF3F5"/>
          </w:tcPr>
          <w:p>
            <w:pPr>
              <w:spacing w:after="80" w:before="80"/>
            </w:pPr>
            <w:r>
              <w:rPr>
                <w:b w:val="0"/>
                <w:color w:val="263645"/>
                <w:sz w:val="18"/>
              </w:rPr>
              <w:t>216</w:t>
            </w:r>
          </w:p>
        </w:tc>
        <w:tc>
          <w:tcPr>
            <w:tcW w:type="dxa" w:w="1997"/>
            <w:shd w:fill="EEF3F5"/>
          </w:tcPr>
          <w:p>
            <w:pPr>
              <w:spacing w:after="80" w:before="80"/>
            </w:pPr>
            <w:r>
              <w:rPr>
                <w:b w:val="0"/>
                <w:color w:val="263645"/>
                <w:sz w:val="18"/>
              </w:rPr>
              <w:t>0</w:t>
            </w:r>
          </w:p>
        </w:tc>
        <w:tc>
          <w:tcPr>
            <w:tcW w:type="dxa" w:w="2377"/>
            <w:shd w:fill="EEF3F5"/>
          </w:tcPr>
          <w:p>
            <w:pPr>
              <w:spacing w:after="80" w:before="80"/>
            </w:pPr>
            <w:r>
              <w:rPr>
                <w:b w:val="0"/>
                <w:color w:val="263645"/>
                <w:sz w:val="18"/>
              </w:rPr>
              <w:t>13</w:t>
            </w:r>
          </w:p>
        </w:tc>
      </w:tr>
    </w:tbl>
    <w:p>
      <w:pPr>
        <w:spacing w:after="0"/>
      </w:pPr>
    </w:p>
    <w:p>
      <w:pPr/>
      <w:r>
        <w:rPr>
          <w:b w:val="0"/>
          <w:i w:val="0"/>
          <w:color w:val="617785"/>
          <w:sz w:val="17"/>
        </w:rPr>
        <w:t>“Frequent” means an exactly identical body appearing at least five times anywhere in the corpus. Onboarding uses the original audit’s transparent language rule. Repetition does not establish automation; posts outside frequent bodies are not necessarily substantive discussion. Periods have unequal lengths.</w:t>
      </w:r>
    </w:p>
    <w:p>
      <w:pPr/>
      <w:r>
        <w:rPr>
          <w:b w:val="0"/>
          <w:i w:val="0"/>
        </w:rPr>
      </w:r>
      <w:r>
        <w:rPr>
          <w:b/>
          <w:i w:val="0"/>
        </w:rPr>
        <w:t>Most visible exchange is early.</w:t>
      </w:r>
      <w:r>
        <w:rPr>
          <w:b w:val="0"/>
          <w:i w:val="0"/>
        </w:rPr>
        <w:t xml:space="preserve"> Of 61 multipost topics, 53 began in 2014 and eight in 2015–2020. Of 185 posts outside the high-frequency repeated bodies, 158 are from 2014 (85.4%). Forty-nine multipost topics began in April–June 2014, near the announced launch period. Temporal alignment does not establish causation.</w:t>
      </w:r>
    </w:p>
    <w:p>
      <w:pPr/>
      <w:r>
        <w:rPr>
          <w:b w:val="0"/>
          <w:i w:val="0"/>
        </w:rPr>
      </w:r>
      <w:r>
        <w:rPr>
          <w:b/>
          <w:i w:val="0"/>
        </w:rPr>
        <w:t>The later archive is notice-heavy.</w:t>
      </w:r>
      <w:r>
        <w:rPr>
          <w:b w:val="0"/>
          <w:i w:val="0"/>
        </w:rPr>
        <w:t xml:space="preserve"> Repeated onboarding accounts for 90.4% of posts in 2014, 77.6% in 2015–2016, and 94.3% in 2017–2020. The middle period also contains 98 posts with other repeated bodies. Raw posting volume therefore mixes different communication functions.</w:t>
      </w:r>
    </w:p>
    <w:p>
      <w:pPr/>
      <w:r>
        <w:rPr>
          <w:b w:val="0"/>
          <w:i w:val="0"/>
        </w:rPr>
      </w:r>
      <w:r>
        <w:rPr>
          <w:b/>
          <w:i w:val="0"/>
        </w:rPr>
        <w:t>What can be said about the comments?</w:t>
      </w:r>
      <w:r>
        <w:rPr>
          <w:b w:val="0"/>
          <w:i w:val="0"/>
        </w:rPr>
        <w:t xml:space="preserve"> Recorded private exchange becomes much thinner after 2014. The later 27 posts outside frequent wording, spread across six calendar years, do not support a dependable comparison of tone, confidence, collaboration quality or support needs in this review. Changing platform use, off-platform communication and archive coverage are alternative explanations to disengagement.</w:t>
      </w:r>
    </w:p>
    <w:p>
      <w:r>
        <w:br w:type="page"/>
      </w:r>
    </w:p>
    <w:p>
      <w:pPr>
        <w:pStyle w:val="Title"/>
      </w:pPr>
      <w:r>
        <w:t>Collaboration is a sequence, not a single event</w:t>
      </w:r>
    </w:p>
    <w:p>
      <w:pPr>
        <w:spacing w:after="280"/>
      </w:pPr>
      <w:r>
        <w:rPr>
          <w:color w:val="617785"/>
          <w:sz w:val="20"/>
        </w:rPr>
        <w:t>The archive supports several early stages; later outcomes are often outside view.</w:t>
      </w:r>
    </w:p>
    <w:tbl>
      <w:tblPr>
        <w:tblW w:type="auto" w:w="0"/>
        <w:tblLayout w:type="fixed"/>
        <w:tblLook w:firstColumn="1" w:firstRow="1" w:lastColumn="0" w:lastRow="0" w:noHBand="0" w:noVBand="1" w:val="04A0"/>
      </w:tblPr>
      <w:tblGrid>
        <w:gridCol w:w="1814"/>
        <w:gridCol w:w="4133"/>
        <w:gridCol w:w="4133"/>
      </w:tblGrid>
      <w:tr>
        <w:trPr>
          <w:cantSplit/>
          <w:tblHeader/>
        </w:trPr>
        <w:tc>
          <w:tcPr>
            <w:tcW w:type="dxa" w:w="1814"/>
            <w:shd w:fill="173247"/>
          </w:tcPr>
          <w:p>
            <w:pPr>
              <w:spacing w:after="80" w:before="80"/>
            </w:pPr>
            <w:r>
              <w:rPr>
                <w:b/>
                <w:color w:val="FFFFFF"/>
                <w:sz w:val="18"/>
              </w:rPr>
              <w:t>Stage</w:t>
            </w:r>
          </w:p>
        </w:tc>
        <w:tc>
          <w:tcPr>
            <w:tcW w:type="dxa" w:w="4133"/>
            <w:shd w:fill="173247"/>
          </w:tcPr>
          <w:p>
            <w:pPr>
              <w:spacing w:after="80" w:before="80"/>
            </w:pPr>
            <w:r>
              <w:rPr>
                <w:b/>
                <w:color w:val="FFFFFF"/>
                <w:sz w:val="18"/>
              </w:rPr>
              <w:t>What is visible</w:t>
            </w:r>
          </w:p>
        </w:tc>
        <w:tc>
          <w:tcPr>
            <w:tcW w:type="dxa" w:w="4133"/>
            <w:shd w:fill="173247"/>
          </w:tcPr>
          <w:p>
            <w:pPr>
              <w:spacing w:after="80" w:before="80"/>
            </w:pPr>
            <w:r>
              <w:rPr>
                <w:b/>
                <w:color w:val="FFFFFF"/>
                <w:sz w:val="18"/>
              </w:rPr>
              <w:t>What remains unestablished</w:t>
            </w:r>
          </w:p>
        </w:tc>
      </w:tr>
      <w:tr>
        <w:trPr>
          <w:cantSplit/>
        </w:trPr>
        <w:tc>
          <w:tcPr>
            <w:tcW w:type="dxa" w:w="1814"/>
            <w:shd w:fill="EEF3F5"/>
          </w:tcPr>
          <w:p>
            <w:pPr>
              <w:spacing w:after="80" w:before="80"/>
            </w:pPr>
            <w:r>
              <w:rPr>
                <w:b w:val="0"/>
                <w:color w:val="263645"/>
                <w:sz w:val="18"/>
              </w:rPr>
              <w:t>Finding a way in</w:t>
            </w:r>
          </w:p>
        </w:tc>
        <w:tc>
          <w:tcPr>
            <w:tcW w:type="dxa" w:w="4133"/>
            <w:shd w:fill="EEF3F5"/>
          </w:tcPr>
          <w:p>
            <w:pPr>
              <w:spacing w:after="80" w:before="80"/>
            </w:pPr>
            <w:r>
              <w:rPr>
                <w:b w:val="0"/>
                <w:color w:val="263645"/>
                <w:sz w:val="18"/>
              </w:rPr>
              <w:t>Questions about starting, materials, modules, pace, forum use and eligibility for participation.</w:t>
            </w:r>
          </w:p>
        </w:tc>
        <w:tc>
          <w:tcPr>
            <w:tcW w:type="dxa" w:w="4133"/>
            <w:shd w:fill="EEF3F5"/>
          </w:tcPr>
          <w:p>
            <w:pPr>
              <w:spacing w:after="80" w:before="80"/>
            </w:pPr>
            <w:r>
              <w:rPr>
                <w:b w:val="0"/>
                <w:color w:val="263645"/>
                <w:sz w:val="18"/>
              </w:rPr>
              <w:t>Whether orientation difficulties caused abandonment or were resolved elsewhere.</w:t>
            </w:r>
          </w:p>
        </w:tc>
      </w:tr>
      <w:tr>
        <w:trPr>
          <w:cantSplit/>
        </w:trPr>
        <w:tc>
          <w:tcPr>
            <w:tcW w:type="dxa" w:w="1814"/>
            <w:shd w:fill="FFFFFF"/>
          </w:tcPr>
          <w:p>
            <w:pPr>
              <w:spacing w:after="80" w:before="80"/>
            </w:pPr>
            <w:r>
              <w:rPr>
                <w:b w:val="0"/>
                <w:color w:val="263645"/>
                <w:sz w:val="18"/>
              </w:rPr>
              <w:t>Finding people</w:t>
            </w:r>
          </w:p>
        </w:tc>
        <w:tc>
          <w:tcPr>
            <w:tcW w:type="dxa" w:w="4133"/>
            <w:shd w:fill="FFFFFF"/>
          </w:tcPr>
          <w:p>
            <w:pPr>
              <w:spacing w:after="80" w:before="80"/>
            </w:pPr>
            <w:r>
              <w:rPr>
                <w:b w:val="0"/>
                <w:color w:val="263645"/>
                <w:sz w:val="18"/>
              </w:rPr>
              <w:t>Requests to join groups, invitations, shared interests, offers to help and questions about working alone.</w:t>
            </w:r>
          </w:p>
        </w:tc>
        <w:tc>
          <w:tcPr>
            <w:tcW w:type="dxa" w:w="4133"/>
            <w:shd w:fill="FFFFFF"/>
          </w:tcPr>
          <w:p>
            <w:pPr>
              <w:spacing w:after="80" w:before="80"/>
            </w:pPr>
            <w:r>
              <w:rPr>
                <w:b w:val="0"/>
                <w:color w:val="263645"/>
                <w:sz w:val="18"/>
              </w:rPr>
              <w:t>Whether a match became a durable working relationship.</w:t>
            </w:r>
          </w:p>
        </w:tc>
      </w:tr>
      <w:tr>
        <w:trPr>
          <w:cantSplit/>
        </w:trPr>
        <w:tc>
          <w:tcPr>
            <w:tcW w:type="dxa" w:w="1814"/>
            <w:shd w:fill="EEF3F5"/>
          </w:tcPr>
          <w:p>
            <w:pPr>
              <w:spacing w:after="80" w:before="80"/>
            </w:pPr>
            <w:r>
              <w:rPr>
                <w:b w:val="0"/>
                <w:color w:val="263645"/>
                <w:sz w:val="18"/>
              </w:rPr>
              <w:t>Exchanging help</w:t>
            </w:r>
          </w:p>
        </w:tc>
        <w:tc>
          <w:tcPr>
            <w:tcW w:type="dxa" w:w="4133"/>
            <w:shd w:fill="EEF3F5"/>
          </w:tcPr>
          <w:p>
            <w:pPr>
              <w:spacing w:after="80" w:before="80"/>
            </w:pPr>
            <w:r>
              <w:rPr>
                <w:b w:val="0"/>
                <w:color w:val="263645"/>
                <w:sz w:val="18"/>
              </w:rPr>
              <w:t>Practical directions, explanations, production resources, equipment advice, encouragement and acknowledgment.</w:t>
            </w:r>
          </w:p>
        </w:tc>
        <w:tc>
          <w:tcPr>
            <w:tcW w:type="dxa" w:w="4133"/>
            <w:shd w:fill="EEF3F5"/>
          </w:tcPr>
          <w:p>
            <w:pPr>
              <w:spacing w:after="80" w:before="80"/>
            </w:pPr>
            <w:r>
              <w:rPr>
                <w:b w:val="0"/>
                <w:color w:val="263645"/>
                <w:sz w:val="18"/>
              </w:rPr>
              <w:t>Accurate roles for every respondent, improved skill, or confirmed resolution from thanks alone.</w:t>
            </w:r>
          </w:p>
        </w:tc>
      </w:tr>
      <w:tr>
        <w:trPr>
          <w:cantSplit/>
        </w:trPr>
        <w:tc>
          <w:tcPr>
            <w:tcW w:type="dxa" w:w="1814"/>
            <w:shd w:fill="FFFFFF"/>
          </w:tcPr>
          <w:p>
            <w:pPr>
              <w:spacing w:after="80" w:before="80"/>
            </w:pPr>
            <w:r>
              <w:rPr>
                <w:b w:val="0"/>
                <w:color w:val="263645"/>
                <w:sz w:val="18"/>
              </w:rPr>
              <w:t>Coordinating creative work</w:t>
            </w:r>
          </w:p>
        </w:tc>
        <w:tc>
          <w:tcPr>
            <w:tcW w:type="dxa" w:w="4133"/>
            <w:shd w:fill="FFFFFF"/>
          </w:tcPr>
          <w:p>
            <w:pPr>
              <w:spacing w:after="80" w:before="80"/>
            </w:pPr>
            <w:r>
              <w:rPr>
                <w:b w:val="0"/>
                <w:color w:val="263645"/>
                <w:sz w:val="18"/>
              </w:rPr>
              <w:t>Discussion of projects, sharing work, tools, goals and moving communication to another channel.</w:t>
            </w:r>
          </w:p>
        </w:tc>
        <w:tc>
          <w:tcPr>
            <w:tcW w:type="dxa" w:w="4133"/>
            <w:shd w:fill="FFFFFF"/>
          </w:tcPr>
          <w:p>
            <w:pPr>
              <w:spacing w:after="80" w:before="80"/>
            </w:pPr>
            <w:r>
              <w:rPr>
                <w:b w:val="0"/>
                <w:color w:val="263645"/>
                <w:sz w:val="18"/>
              </w:rPr>
              <w:t>The complete workflow, division of work, finished artifact or continued contact.</w:t>
            </w:r>
          </w:p>
        </w:tc>
      </w:tr>
      <w:tr>
        <w:trPr>
          <w:cantSplit/>
        </w:trPr>
        <w:tc>
          <w:tcPr>
            <w:tcW w:type="dxa" w:w="1814"/>
            <w:shd w:fill="EEF3F5"/>
          </w:tcPr>
          <w:p>
            <w:pPr>
              <w:spacing w:after="80" w:before="80"/>
            </w:pPr>
            <w:r>
              <w:rPr>
                <w:b w:val="0"/>
                <w:color w:val="263645"/>
                <w:sz w:val="18"/>
              </w:rPr>
              <w:t>Critique and revision</w:t>
            </w:r>
          </w:p>
        </w:tc>
        <w:tc>
          <w:tcPr>
            <w:tcW w:type="dxa" w:w="4133"/>
            <w:shd w:fill="EEF3F5"/>
          </w:tcPr>
          <w:p>
            <w:pPr>
              <w:spacing w:after="80" w:before="80"/>
            </w:pPr>
            <w:r>
              <w:rPr>
                <w:b w:val="0"/>
                <w:color w:val="263645"/>
                <w:sz w:val="18"/>
              </w:rPr>
              <w:t>Offers of feedback and interest in sharing creative work.</w:t>
            </w:r>
          </w:p>
        </w:tc>
        <w:tc>
          <w:tcPr>
            <w:tcW w:type="dxa" w:w="4133"/>
            <w:shd w:fill="EEF3F5"/>
          </w:tcPr>
          <w:p>
            <w:pPr>
              <w:spacing w:after="80" w:before="80"/>
            </w:pPr>
            <w:r>
              <w:rPr>
                <w:b w:val="0"/>
                <w:color w:val="263645"/>
                <w:sz w:val="18"/>
              </w:rPr>
              <w:t>A reliable rate of detailed artifact critique, revision after feedback or learning gains.</w:t>
            </w:r>
          </w:p>
        </w:tc>
      </w:tr>
    </w:tbl>
    <w:p>
      <w:pPr>
        <w:spacing w:after="0"/>
      </w:pPr>
    </w:p>
    <w:p>
      <w:pPr>
        <w:pStyle w:val="Heading1"/>
      </w:pPr>
      <w:r>
        <w:rPr>
          <w:b w:val="0"/>
          <w:i w:val="0"/>
        </w:rPr>
        <w:t>Interaction often serves a practical coordination role</w:t>
      </w:r>
    </w:p>
    <w:p>
      <w:pPr/>
      <w:r>
        <w:rPr>
          <w:b w:val="0"/>
          <w:i w:val="0"/>
        </w:rPr>
        <w:t>A useful interpretation is that private messaging often helps people locate the course, clarify expectations, find collaborators and arrange a next step. It may connect a learner to an activity or another person without becoming the place where the creative work itself is documented. This interpretation fits the observed requests and redirects; it is not a validated functional classification of every message.</w:t>
      </w:r>
    </w:p>
    <w:p>
      <w:pPr/>
      <w:r>
        <w:rPr>
          <w:b w:val="0"/>
          <w:i w:val="0"/>
        </w:rPr>
        <w:t>The 61 multipost topics are generally brief in recorded calendar span: 43 run from earliest to latest post within one day, 13 span one to seven days, and five span longer. These are whole-thread spans, not response-time measures. Short threads can complete a useful introduction or answer; they are not evidence of failed engagement. A later exchange may happen elsewhere.</w:t>
      </w:r>
    </w:p>
    <w:p>
      <w:pPr>
        <w:pStyle w:val="Heading1"/>
      </w:pPr>
      <w:r>
        <w:rPr>
          <w:b w:val="0"/>
          <w:i w:val="0"/>
        </w:rPr>
        <w:t>Useful distinctions for future design</w:t>
      </w:r>
    </w:p>
    <w:p>
      <w:pPr/>
      <w:r>
        <w:rPr>
          <w:b w:val="0"/>
          <w:i w:val="0"/>
        </w:rPr>
        <w:t xml:space="preserve">Distinguish </w:t>
      </w:r>
      <w:r>
        <w:rPr>
          <w:b/>
          <w:i w:val="0"/>
        </w:rPr>
        <w:t>contact</w:t>
      </w:r>
      <w:r>
        <w:rPr>
          <w:b w:val="0"/>
          <w:i w:val="0"/>
        </w:rPr>
        <w:t xml:space="preserve"> from collaboration, </w:t>
      </w:r>
      <w:r>
        <w:rPr>
          <w:b/>
          <w:i w:val="0"/>
        </w:rPr>
        <w:t>encouragement</w:t>
      </w:r>
      <w:r>
        <w:rPr>
          <w:b w:val="0"/>
          <w:i w:val="0"/>
        </w:rPr>
        <w:t xml:space="preserve"> from creative critique, </w:t>
      </w:r>
      <w:r>
        <w:rPr>
          <w:b/>
          <w:i w:val="0"/>
        </w:rPr>
        <w:t>offered guidance</w:t>
      </w:r>
      <w:r>
        <w:rPr>
          <w:b w:val="0"/>
          <w:i w:val="0"/>
        </w:rPr>
        <w:t xml:space="preserve"> from uptake, and </w:t>
      </w:r>
      <w:r>
        <w:rPr>
          <w:b/>
          <w:i w:val="0"/>
        </w:rPr>
        <w:t>participation</w:t>
      </w:r>
      <w:r>
        <w:rPr>
          <w:b w:val="0"/>
          <w:i w:val="0"/>
        </w:rPr>
        <w:t xml:space="preserve"> from demonstrated learning. Greetings and thanks can matter socially, but counting them as completed collaboration or learning would overstate the evidence. Account roles and unique people were not independently established.</w:t>
      </w:r>
    </w:p>
    <w:p>
      <w:r>
        <w:br w:type="page"/>
      </w:r>
    </w:p>
    <w:p>
      <w:pPr>
        <w:pStyle w:val="Title"/>
      </w:pPr>
      <w:r>
        <w:t>Design implications for future creative MOOCs</w:t>
      </w:r>
    </w:p>
    <w:p>
      <w:pPr>
        <w:spacing w:after="280"/>
      </w:pPr>
      <w:r>
        <w:rPr>
          <w:color w:val="617785"/>
          <w:sz w:val="20"/>
        </w:rPr>
        <w:t>These are testable proposals derived from the review, not claims of proven effectiveness.</w:t>
      </w:r>
    </w:p>
    <w:tbl>
      <w:tblPr>
        <w:tblW w:type="auto" w:w="0"/>
        <w:tblLayout w:type="fixed"/>
        <w:tblLook w:firstColumn="1" w:firstRow="1" w:lastColumn="0" w:lastRow="0" w:noHBand="0" w:noVBand="1" w:val="04A0"/>
      </w:tblPr>
      <w:tblGrid>
        <w:gridCol w:w="2218"/>
        <w:gridCol w:w="4334"/>
        <w:gridCol w:w="3528"/>
      </w:tblGrid>
      <w:tr>
        <w:trPr>
          <w:cantSplit/>
          <w:tblHeader/>
        </w:trPr>
        <w:tc>
          <w:tcPr>
            <w:tcW w:type="dxa" w:w="2218"/>
            <w:shd w:fill="173247"/>
          </w:tcPr>
          <w:p>
            <w:pPr>
              <w:spacing w:after="80" w:before="80"/>
            </w:pPr>
            <w:r>
              <w:rPr>
                <w:b/>
                <w:color w:val="FFFFFF"/>
                <w:sz w:val="18"/>
              </w:rPr>
              <w:t>Design priority</w:t>
            </w:r>
          </w:p>
        </w:tc>
        <w:tc>
          <w:tcPr>
            <w:tcW w:type="dxa" w:w="4334"/>
            <w:shd w:fill="173247"/>
          </w:tcPr>
          <w:p>
            <w:pPr>
              <w:spacing w:after="80" w:before="80"/>
            </w:pPr>
            <w:r>
              <w:rPr>
                <w:b/>
                <w:color w:val="FFFFFF"/>
                <w:sz w:val="18"/>
              </w:rPr>
              <w:t>Concrete implementation</w:t>
            </w:r>
          </w:p>
        </w:tc>
        <w:tc>
          <w:tcPr>
            <w:tcW w:type="dxa" w:w="3528"/>
            <w:shd w:fill="173247"/>
          </w:tcPr>
          <w:p>
            <w:pPr>
              <w:spacing w:after="80" w:before="80"/>
            </w:pPr>
            <w:r>
              <w:rPr>
                <w:b/>
                <w:color w:val="FFFFFF"/>
                <w:sz w:val="18"/>
              </w:rPr>
              <w:t>What to check</w:t>
            </w:r>
          </w:p>
        </w:tc>
      </w:tr>
      <w:tr>
        <w:trPr>
          <w:cantSplit/>
        </w:trPr>
        <w:tc>
          <w:tcPr>
            <w:tcW w:type="dxa" w:w="2218"/>
            <w:shd w:fill="EEF3F5"/>
          </w:tcPr>
          <w:p>
            <w:pPr>
              <w:spacing w:after="80" w:before="80"/>
            </w:pPr>
            <w:r>
              <w:rPr>
                <w:b w:val="0"/>
                <w:color w:val="263645"/>
                <w:sz w:val="18"/>
              </w:rPr>
              <w:t>Make the next action unmistakable</w:t>
            </w:r>
          </w:p>
        </w:tc>
        <w:tc>
          <w:tcPr>
            <w:tcW w:type="dxa" w:w="4334"/>
            <w:shd w:fill="EEF3F5"/>
          </w:tcPr>
          <w:p>
            <w:pPr>
              <w:spacing w:after="80" w:before="80"/>
            </w:pPr>
            <w:r>
              <w:rPr>
                <w:b w:val="0"/>
                <w:color w:val="263645"/>
                <w:sz w:val="18"/>
              </w:rPr>
              <w:t>Give each arrival one short creative starter task, a visible course map, and clear explanations of pace, groups and solo participation.</w:t>
            </w:r>
          </w:p>
        </w:tc>
        <w:tc>
          <w:tcPr>
            <w:tcW w:type="dxa" w:w="3528"/>
            <w:shd w:fill="EEF3F5"/>
          </w:tcPr>
          <w:p>
            <w:pPr>
              <w:spacing w:after="80" w:before="80"/>
            </w:pPr>
            <w:r>
              <w:rPr>
                <w:b w:val="0"/>
                <w:color w:val="263645"/>
                <w:sz w:val="18"/>
              </w:rPr>
              <w:t>Can a new participant reach and complete the first task without a navigation request?</w:t>
            </w:r>
          </w:p>
        </w:tc>
      </w:tr>
      <w:tr>
        <w:trPr>
          <w:cantSplit/>
        </w:trPr>
        <w:tc>
          <w:tcPr>
            <w:tcW w:type="dxa" w:w="2218"/>
            <w:shd w:fill="FFFFFF"/>
          </w:tcPr>
          <w:p>
            <w:pPr>
              <w:spacing w:after="80" w:before="80"/>
            </w:pPr>
            <w:r>
              <w:rPr>
                <w:b w:val="0"/>
                <w:color w:val="263645"/>
                <w:sz w:val="18"/>
              </w:rPr>
              <w:t>Help introductions become shared action</w:t>
            </w:r>
          </w:p>
        </w:tc>
        <w:tc>
          <w:tcPr>
            <w:tcW w:type="dxa" w:w="4334"/>
            <w:shd w:fill="FFFFFF"/>
          </w:tcPr>
          <w:p>
            <w:pPr>
              <w:spacing w:after="80" w:before="80"/>
            </w:pPr>
            <w:r>
              <w:rPr>
                <w:b w:val="0"/>
                <w:color w:val="263645"/>
                <w:sz w:val="18"/>
              </w:rPr>
              <w:t>After a collaboration invitation, offer a small joint task with a shared artifact and an explicit next step. Permit rematching or working solo.</w:t>
            </w:r>
          </w:p>
        </w:tc>
        <w:tc>
          <w:tcPr>
            <w:tcW w:type="dxa" w:w="3528"/>
            <w:shd w:fill="FFFFFF"/>
          </w:tcPr>
          <w:p>
            <w:pPr>
              <w:spacing w:after="80" w:before="80"/>
            </w:pPr>
            <w:r>
              <w:rPr>
                <w:b w:val="0"/>
                <w:color w:val="263645"/>
                <w:sz w:val="18"/>
              </w:rPr>
              <w:t>Do invitations receive a response and lead to an agreed task? Keep those milestones separate.</w:t>
            </w:r>
          </w:p>
        </w:tc>
      </w:tr>
      <w:tr>
        <w:trPr>
          <w:cantSplit/>
        </w:trPr>
        <w:tc>
          <w:tcPr>
            <w:tcW w:type="dxa" w:w="2218"/>
            <w:shd w:fill="EEF3F5"/>
          </w:tcPr>
          <w:p>
            <w:pPr>
              <w:spacing w:after="80" w:before="80"/>
            </w:pPr>
            <w:r>
              <w:rPr>
                <w:b w:val="0"/>
                <w:color w:val="263645"/>
                <w:sz w:val="18"/>
              </w:rPr>
              <w:t>Support rolling participation</w:t>
            </w:r>
          </w:p>
        </w:tc>
        <w:tc>
          <w:tcPr>
            <w:tcW w:type="dxa" w:w="4334"/>
            <w:shd w:fill="EEF3F5"/>
          </w:tcPr>
          <w:p>
            <w:pPr>
              <w:spacing w:after="80" w:before="80"/>
            </w:pPr>
            <w:r>
              <w:rPr>
                <w:b w:val="0"/>
                <w:color w:val="263645"/>
                <w:sz w:val="18"/>
              </w:rPr>
              <w:t>Offer opt-in activity windows, recent-work discovery and a visible route to available peers or facilitators for late arrivals.</w:t>
            </w:r>
          </w:p>
        </w:tc>
        <w:tc>
          <w:tcPr>
            <w:tcW w:type="dxa" w:w="3528"/>
            <w:shd w:fill="EEF3F5"/>
          </w:tcPr>
          <w:p>
            <w:pPr>
              <w:spacing w:after="80" w:before="80"/>
            </w:pPr>
            <w:r>
              <w:rPr>
                <w:b w:val="0"/>
                <w:color w:val="263645"/>
                <w:sz w:val="18"/>
              </w:rPr>
              <w:t>Can later arrivals find an active partner and useful feedback, rather than only historic notices?</w:t>
            </w:r>
          </w:p>
        </w:tc>
      </w:tr>
      <w:tr>
        <w:trPr>
          <w:cantSplit/>
        </w:trPr>
        <w:tc>
          <w:tcPr>
            <w:tcW w:type="dxa" w:w="2218"/>
            <w:shd w:fill="FFFFFF"/>
          </w:tcPr>
          <w:p>
            <w:pPr>
              <w:spacing w:after="80" w:before="80"/>
            </w:pPr>
            <w:r>
              <w:rPr>
                <w:b w:val="0"/>
                <w:color w:val="263645"/>
                <w:sz w:val="18"/>
              </w:rPr>
              <w:t>Make feedback specific and usable</w:t>
            </w:r>
          </w:p>
        </w:tc>
        <w:tc>
          <w:tcPr>
            <w:tcW w:type="dxa" w:w="4334"/>
            <w:shd w:fill="FFFFFF"/>
          </w:tcPr>
          <w:p>
            <w:pPr>
              <w:spacing w:after="80" w:before="80"/>
            </w:pPr>
            <w:r>
              <w:rPr>
                <w:b w:val="0"/>
                <w:color w:val="263645"/>
                <w:sz w:val="18"/>
              </w:rPr>
              <w:t>Ask the creator to state an intention and a question. Offer prompts about an audible feature, its effect and one possible experiment.</w:t>
            </w:r>
          </w:p>
        </w:tc>
        <w:tc>
          <w:tcPr>
            <w:tcW w:type="dxa" w:w="3528"/>
            <w:shd w:fill="FFFFFF"/>
          </w:tcPr>
          <w:p>
            <w:pPr>
              <w:spacing w:after="80" w:before="80"/>
            </w:pPr>
            <w:r>
              <w:rPr>
                <w:b w:val="0"/>
                <w:color w:val="263645"/>
                <w:sz w:val="18"/>
              </w:rPr>
              <w:t>Does feedback refer to the artifact and lead to a stated decision, experiment or revision?</w:t>
            </w:r>
          </w:p>
        </w:tc>
      </w:tr>
      <w:tr>
        <w:trPr>
          <w:cantSplit/>
        </w:trPr>
        <w:tc>
          <w:tcPr>
            <w:tcW w:type="dxa" w:w="2218"/>
            <w:shd w:fill="EEF3F5"/>
          </w:tcPr>
          <w:p>
            <w:pPr>
              <w:spacing w:after="80" w:before="80"/>
            </w:pPr>
            <w:r>
              <w:rPr>
                <w:b w:val="0"/>
                <w:color w:val="263645"/>
                <w:sz w:val="18"/>
              </w:rPr>
              <w:t>Close the support loop</w:t>
            </w:r>
          </w:p>
        </w:tc>
        <w:tc>
          <w:tcPr>
            <w:tcW w:type="dxa" w:w="4334"/>
            <w:shd w:fill="EEF3F5"/>
          </w:tcPr>
          <w:p>
            <w:pPr>
              <w:spacing w:after="80" w:before="80"/>
            </w:pPr>
            <w:r>
              <w:rPr>
                <w:b w:val="0"/>
                <w:color w:val="263645"/>
                <w:sz w:val="18"/>
              </w:rPr>
              <w:t>Provide a clear support route and ask whether guidance worked. Make unresolved requests visible to an appropriate facilitator.</w:t>
            </w:r>
          </w:p>
        </w:tc>
        <w:tc>
          <w:tcPr>
            <w:tcW w:type="dxa" w:w="3528"/>
            <w:shd w:fill="EEF3F5"/>
          </w:tcPr>
          <w:p>
            <w:pPr>
              <w:spacing w:after="80" w:before="80"/>
            </w:pPr>
            <w:r>
              <w:rPr>
                <w:b w:val="0"/>
                <w:color w:val="263645"/>
                <w:sz w:val="18"/>
              </w:rPr>
              <w:t>Separate request, response, acknowledgment and confirmed resolution.</w:t>
            </w:r>
          </w:p>
        </w:tc>
      </w:tr>
      <w:tr>
        <w:trPr>
          <w:cantSplit/>
        </w:trPr>
        <w:tc>
          <w:tcPr>
            <w:tcW w:type="dxa" w:w="2218"/>
            <w:shd w:fill="FFFFFF"/>
          </w:tcPr>
          <w:p>
            <w:pPr>
              <w:spacing w:after="80" w:before="80"/>
            </w:pPr>
            <w:r>
              <w:rPr>
                <w:b w:val="0"/>
                <w:color w:val="263645"/>
                <w:sz w:val="18"/>
              </w:rPr>
              <w:t>Keep continuity without forced disclosure</w:t>
            </w:r>
          </w:p>
        </w:tc>
        <w:tc>
          <w:tcPr>
            <w:tcW w:type="dxa" w:w="4334"/>
            <w:shd w:fill="FFFFFF"/>
          </w:tcPr>
          <w:p>
            <w:pPr>
              <w:spacing w:after="80" w:before="80"/>
            </w:pPr>
            <w:r>
              <w:rPr>
                <w:b w:val="0"/>
                <w:color w:val="263645"/>
                <w:sz w:val="18"/>
              </w:rPr>
              <w:t>Allow chosen communication channels. Offer an optional short progress or artifact update back to the course, with clear privacy choices.</w:t>
            </w:r>
          </w:p>
        </w:tc>
        <w:tc>
          <w:tcPr>
            <w:tcW w:type="dxa" w:w="3528"/>
            <w:shd w:fill="FFFFFF"/>
          </w:tcPr>
          <w:p>
            <w:pPr>
              <w:spacing w:after="80" w:before="80"/>
            </w:pPr>
            <w:r>
              <w:rPr>
                <w:b w:val="0"/>
                <w:color w:val="263645"/>
                <w:sz w:val="18"/>
              </w:rPr>
              <w:t>Can useful outcomes be seen without requiring access to private conversations?</w:t>
            </w:r>
          </w:p>
        </w:tc>
      </w:tr>
    </w:tbl>
    <w:p>
      <w:pPr>
        <w:spacing w:after="0"/>
      </w:pPr>
    </w:p>
    <w:p>
      <w:pPr>
        <w:pStyle w:val="Heading1"/>
      </w:pPr>
      <w:r>
        <w:rPr>
          <w:b w:val="0"/>
          <w:i w:val="0"/>
        </w:rPr>
        <w:t>Match the social design to the course rhythm</w:t>
      </w:r>
    </w:p>
    <w:p>
      <w:pPr/>
      <w:r>
        <w:rPr>
          <w:b w:val="0"/>
          <w:i w:val="0"/>
        </w:rPr>
        <w:t>A self-paced course gives learners flexibility, while collaboration depends on people being available at compatible moments. The temporal record suggests planning explicitly for both the launch cohort and the long tail. A resource remaining online is not the same as an active peer network. The proposals above aim to make availability and next steps visible without making a group mandatory.</w:t>
      </w:r>
    </w:p>
    <w:p>
      <w:pPr/>
      <w:r>
        <w:rPr>
          <w:b w:val="0"/>
          <w:i w:val="0"/>
        </w:rPr>
        <w:t>The earlier 2013 public reflection also cautioned that affinity grouping alone did not sustain most small groups, while recognizing participation beyond the scheduled course. That is separate historical evidence, not a finding measured from this private derivative. [1]</w:t>
      </w:r>
    </w:p>
    <w:p>
      <w:pPr/>
      <w:r>
        <w:rPr>
          <w:b w:val="0"/>
          <w:i w:val="0"/>
          <w:color w:val="617785"/>
          <w:sz w:val="17"/>
        </w:rPr>
        <w:t>Implementing these ideas would require a separate product or course-design task. This review made no infrastructure, platform or participant-contact changes.</w:t>
      </w:r>
    </w:p>
    <w:p>
      <w:r>
        <w:br w:type="page"/>
      </w:r>
    </w:p>
    <w:p>
      <w:pPr>
        <w:pStyle w:val="Title"/>
      </w:pPr>
      <w:r>
        <w:t>A small pilot and a better evidence model</w:t>
      </w:r>
    </w:p>
    <w:p>
      <w:pPr>
        <w:spacing w:after="280"/>
      </w:pPr>
      <w:r>
        <w:rPr>
          <w:color w:val="617785"/>
          <w:sz w:val="20"/>
        </w:rPr>
        <w:t>Measure the transition between meaningful actions, with transparent and minimal data collection.</w:t>
      </w:r>
    </w:p>
    <w:p>
      <w:pPr>
        <w:pStyle w:val="Heading1"/>
      </w:pPr>
      <w:r>
        <w:rPr>
          <w:b w:val="0"/>
          <w:i w:val="0"/>
        </w:rPr>
        <w:t>An illustrative activity sequence</w:t>
      </w:r>
    </w:p>
    <w:p>
      <w:pPr/>
      <w:r>
        <w:rPr>
          <w:b w:val="0"/>
          <w:i w:val="0"/>
        </w:rPr>
        <w:t>A participant creates a short mix, states a creative intention, and chooses a question for feedback. Another participant listens and comments on one audible feature. The creator decides whether to try a change and optionally shares a revised version with a brief explanation. This is a proposed learning design, not a reconstructed private conversation.</w:t>
      </w:r>
    </w:p>
    <w:tbl>
      <w:tblPr>
        <w:tblW w:type="auto" w:w="0"/>
        <w:tblLayout w:type="fixed"/>
        <w:tblLook w:firstColumn="1" w:firstRow="1" w:lastColumn="0" w:lastRow="0" w:noHBand="0" w:noVBand="1" w:val="04A0"/>
      </w:tblPr>
      <w:tblGrid>
        <w:gridCol w:w="2016"/>
        <w:gridCol w:w="4234"/>
        <w:gridCol w:w="3830"/>
      </w:tblGrid>
      <w:tr>
        <w:trPr>
          <w:cantSplit/>
          <w:tblHeader/>
        </w:trPr>
        <w:tc>
          <w:tcPr>
            <w:tcW w:type="dxa" w:w="2016"/>
            <w:shd w:fill="173247"/>
          </w:tcPr>
          <w:p>
            <w:pPr>
              <w:spacing w:after="80" w:before="80"/>
            </w:pPr>
            <w:r>
              <w:rPr>
                <w:b/>
                <w:color w:val="FFFFFF"/>
                <w:sz w:val="18"/>
              </w:rPr>
              <w:t>Separate measure</w:t>
            </w:r>
          </w:p>
        </w:tc>
        <w:tc>
          <w:tcPr>
            <w:tcW w:type="dxa" w:w="4234"/>
            <w:shd w:fill="173247"/>
          </w:tcPr>
          <w:p>
            <w:pPr>
              <w:spacing w:after="80" w:before="80"/>
            </w:pPr>
            <w:r>
              <w:rPr>
                <w:b/>
                <w:color w:val="FFFFFF"/>
                <w:sz w:val="18"/>
              </w:rPr>
              <w:t>Operational definition</w:t>
            </w:r>
          </w:p>
        </w:tc>
        <w:tc>
          <w:tcPr>
            <w:tcW w:type="dxa" w:w="3830"/>
            <w:shd w:fill="173247"/>
          </w:tcPr>
          <w:p>
            <w:pPr>
              <w:spacing w:after="80" w:before="80"/>
            </w:pPr>
            <w:r>
              <w:rPr>
                <w:b/>
                <w:color w:val="FFFFFF"/>
                <w:sz w:val="18"/>
              </w:rPr>
              <w:t>Interpretation limit</w:t>
            </w:r>
          </w:p>
        </w:tc>
      </w:tr>
      <w:tr>
        <w:trPr>
          <w:cantSplit/>
        </w:trPr>
        <w:tc>
          <w:tcPr>
            <w:tcW w:type="dxa" w:w="2016"/>
            <w:shd w:fill="EEF3F5"/>
          </w:tcPr>
          <w:p>
            <w:pPr>
              <w:spacing w:after="80" w:before="80"/>
            </w:pPr>
            <w:r>
              <w:rPr>
                <w:b w:val="0"/>
                <w:color w:val="263645"/>
                <w:sz w:val="18"/>
              </w:rPr>
              <w:t>Orientation</w:t>
            </w:r>
          </w:p>
        </w:tc>
        <w:tc>
          <w:tcPr>
            <w:tcW w:type="dxa" w:w="4234"/>
            <w:shd w:fill="EEF3F5"/>
          </w:tcPr>
          <w:p>
            <w:pPr>
              <w:spacing w:after="80" w:before="80"/>
            </w:pPr>
            <w:r>
              <w:rPr>
                <w:b w:val="0"/>
                <w:color w:val="263645"/>
                <w:sz w:val="18"/>
              </w:rPr>
              <w:t>Participant reaches the first activity and can locate the next one.</w:t>
            </w:r>
          </w:p>
        </w:tc>
        <w:tc>
          <w:tcPr>
            <w:tcW w:type="dxa" w:w="3830"/>
            <w:shd w:fill="EEF3F5"/>
          </w:tcPr>
          <w:p>
            <w:pPr>
              <w:spacing w:after="80" w:before="80"/>
            </w:pPr>
            <w:r>
              <w:rPr>
                <w:b w:val="0"/>
                <w:color w:val="263645"/>
                <w:sz w:val="18"/>
              </w:rPr>
              <w:t>Opening a page alone is not completion or learning.</w:t>
            </w:r>
          </w:p>
        </w:tc>
      </w:tr>
      <w:tr>
        <w:trPr>
          <w:cantSplit/>
        </w:trPr>
        <w:tc>
          <w:tcPr>
            <w:tcW w:type="dxa" w:w="2016"/>
            <w:shd w:fill="FFFFFF"/>
          </w:tcPr>
          <w:p>
            <w:pPr>
              <w:spacing w:after="80" w:before="80"/>
            </w:pPr>
            <w:r>
              <w:rPr>
                <w:b w:val="0"/>
                <w:color w:val="263645"/>
                <w:sz w:val="18"/>
              </w:rPr>
              <w:t>Connection</w:t>
            </w:r>
          </w:p>
        </w:tc>
        <w:tc>
          <w:tcPr>
            <w:tcW w:type="dxa" w:w="4234"/>
            <w:shd w:fill="FFFFFF"/>
          </w:tcPr>
          <w:p>
            <w:pPr>
              <w:spacing w:after="80" w:before="80"/>
            </w:pPr>
            <w:r>
              <w:rPr>
                <w:b w:val="0"/>
                <w:color w:val="263645"/>
                <w:sz w:val="18"/>
              </w:rPr>
              <w:t>An invitation receives a reply, followed separately by agreement on a next action.</w:t>
            </w:r>
          </w:p>
        </w:tc>
        <w:tc>
          <w:tcPr>
            <w:tcW w:type="dxa" w:w="3830"/>
            <w:shd w:fill="FFFFFF"/>
          </w:tcPr>
          <w:p>
            <w:pPr>
              <w:spacing w:after="80" w:before="80"/>
            </w:pPr>
            <w:r>
              <w:rPr>
                <w:b w:val="0"/>
                <w:color w:val="263645"/>
                <w:sz w:val="18"/>
              </w:rPr>
              <w:t>A reply or acceptance does not prove joint work.</w:t>
            </w:r>
          </w:p>
        </w:tc>
      </w:tr>
      <w:tr>
        <w:trPr>
          <w:cantSplit/>
        </w:trPr>
        <w:tc>
          <w:tcPr>
            <w:tcW w:type="dxa" w:w="2016"/>
            <w:shd w:fill="EEF3F5"/>
          </w:tcPr>
          <w:p>
            <w:pPr>
              <w:spacing w:after="80" w:before="80"/>
            </w:pPr>
            <w:r>
              <w:rPr>
                <w:b w:val="0"/>
                <w:color w:val="263645"/>
                <w:sz w:val="18"/>
              </w:rPr>
              <w:t>Feedback</w:t>
            </w:r>
          </w:p>
        </w:tc>
        <w:tc>
          <w:tcPr>
            <w:tcW w:type="dxa" w:w="4234"/>
            <w:shd w:fill="EEF3F5"/>
          </w:tcPr>
          <w:p>
            <w:pPr>
              <w:spacing w:after="80" w:before="80"/>
            </w:pPr>
            <w:r>
              <w:rPr>
                <w:b w:val="0"/>
                <w:color w:val="263645"/>
                <w:sz w:val="18"/>
              </w:rPr>
              <w:t>A response identifies a feature of the submitted work and relates it to the creator’s intention.</w:t>
            </w:r>
          </w:p>
        </w:tc>
        <w:tc>
          <w:tcPr>
            <w:tcW w:type="dxa" w:w="3830"/>
            <w:shd w:fill="EEF3F5"/>
          </w:tcPr>
          <w:p>
            <w:pPr>
              <w:spacing w:after="80" w:before="80"/>
            </w:pPr>
            <w:r>
              <w:rPr>
                <w:b w:val="0"/>
                <w:color w:val="263645"/>
                <w:sz w:val="18"/>
              </w:rPr>
              <w:t>Counting comments alone does not establish useful critique.</w:t>
            </w:r>
          </w:p>
        </w:tc>
      </w:tr>
      <w:tr>
        <w:trPr>
          <w:cantSplit/>
        </w:trPr>
        <w:tc>
          <w:tcPr>
            <w:tcW w:type="dxa" w:w="2016"/>
            <w:shd w:fill="FFFFFF"/>
          </w:tcPr>
          <w:p>
            <w:pPr>
              <w:spacing w:after="80" w:before="80"/>
            </w:pPr>
            <w:r>
              <w:rPr>
                <w:b w:val="0"/>
                <w:color w:val="263645"/>
                <w:sz w:val="18"/>
              </w:rPr>
              <w:t>Uptake</w:t>
            </w:r>
          </w:p>
        </w:tc>
        <w:tc>
          <w:tcPr>
            <w:tcW w:type="dxa" w:w="4234"/>
            <w:shd w:fill="FFFFFF"/>
          </w:tcPr>
          <w:p>
            <w:pPr>
              <w:spacing w:after="80" w:before="80"/>
            </w:pPr>
            <w:r>
              <w:rPr>
                <w:b w:val="0"/>
                <w:color w:val="263645"/>
                <w:sz w:val="18"/>
              </w:rPr>
              <w:t>Creator records a decision or experiment in response to feedback.</w:t>
            </w:r>
          </w:p>
        </w:tc>
        <w:tc>
          <w:tcPr>
            <w:tcW w:type="dxa" w:w="3830"/>
            <w:shd w:fill="FFFFFF"/>
          </w:tcPr>
          <w:p>
            <w:pPr>
              <w:spacing w:after="80" w:before="80"/>
            </w:pPr>
            <w:r>
              <w:rPr>
                <w:b w:val="0"/>
                <w:color w:val="263645"/>
                <w:sz w:val="18"/>
              </w:rPr>
              <w:t>Choosing not to revise can still be an informed artistic decision.</w:t>
            </w:r>
          </w:p>
        </w:tc>
      </w:tr>
      <w:tr>
        <w:trPr>
          <w:cantSplit/>
        </w:trPr>
        <w:tc>
          <w:tcPr>
            <w:tcW w:type="dxa" w:w="2016"/>
            <w:shd w:fill="EEF3F5"/>
          </w:tcPr>
          <w:p>
            <w:pPr>
              <w:spacing w:after="80" w:before="80"/>
            </w:pPr>
            <w:r>
              <w:rPr>
                <w:b w:val="0"/>
                <w:color w:val="263645"/>
                <w:sz w:val="18"/>
              </w:rPr>
              <w:t>Creative development</w:t>
            </w:r>
          </w:p>
        </w:tc>
        <w:tc>
          <w:tcPr>
            <w:tcW w:type="dxa" w:w="4234"/>
            <w:shd w:fill="EEF3F5"/>
          </w:tcPr>
          <w:p>
            <w:pPr>
              <w:spacing w:after="80" w:before="80"/>
            </w:pPr>
            <w:r>
              <w:rPr>
                <w:b w:val="0"/>
                <w:color w:val="263645"/>
                <w:sz w:val="18"/>
              </w:rPr>
              <w:t>With appropriate permission, compare artifact versions and the creator’s explanation against stated goals.</w:t>
            </w:r>
          </w:p>
        </w:tc>
        <w:tc>
          <w:tcPr>
            <w:tcW w:type="dxa" w:w="3830"/>
            <w:shd w:fill="EEF3F5"/>
          </w:tcPr>
          <w:p>
            <w:pPr>
              <w:spacing w:after="80" w:before="80"/>
            </w:pPr>
            <w:r>
              <w:rPr>
                <w:b w:val="0"/>
                <w:color w:val="263645"/>
                <w:sz w:val="18"/>
              </w:rPr>
              <w:t>Improvement needs a suitable assessment process; message activity is an insufficient proxy.</w:t>
            </w:r>
          </w:p>
        </w:tc>
      </w:tr>
      <w:tr>
        <w:trPr>
          <w:cantSplit/>
        </w:trPr>
        <w:tc>
          <w:tcPr>
            <w:tcW w:type="dxa" w:w="2016"/>
            <w:shd w:fill="FFFFFF"/>
          </w:tcPr>
          <w:p>
            <w:pPr>
              <w:spacing w:after="80" w:before="80"/>
            </w:pPr>
            <w:r>
              <w:rPr>
                <w:b w:val="0"/>
                <w:color w:val="263645"/>
                <w:sz w:val="18"/>
              </w:rPr>
              <w:t>Support</w:t>
            </w:r>
          </w:p>
        </w:tc>
        <w:tc>
          <w:tcPr>
            <w:tcW w:type="dxa" w:w="4234"/>
            <w:shd w:fill="FFFFFF"/>
          </w:tcPr>
          <w:p>
            <w:pPr>
              <w:spacing w:after="80" w:before="80"/>
            </w:pPr>
            <w:r>
              <w:rPr>
                <w:b w:val="0"/>
                <w:color w:val="263645"/>
                <w:sz w:val="18"/>
              </w:rPr>
              <w:t>A request receives an answer, followed by a separate confirmation or unresolved status.</w:t>
            </w:r>
          </w:p>
        </w:tc>
        <w:tc>
          <w:tcPr>
            <w:tcW w:type="dxa" w:w="3830"/>
            <w:shd w:fill="FFFFFF"/>
          </w:tcPr>
          <w:p>
            <w:pPr>
              <w:spacing w:after="80" w:before="80"/>
            </w:pPr>
            <w:r>
              <w:rPr>
                <w:b w:val="0"/>
                <w:color w:val="263645"/>
                <w:sz w:val="18"/>
              </w:rPr>
              <w:t>Thanks and silence should not be automatically coded as resolution.</w:t>
            </w:r>
          </w:p>
        </w:tc>
      </w:tr>
    </w:tbl>
    <w:p>
      <w:pPr>
        <w:spacing w:after="0"/>
      </w:pPr>
    </w:p>
    <w:p>
      <w:pPr>
        <w:pStyle w:val="Heading1"/>
      </w:pPr>
      <w:r>
        <w:rPr>
          <w:b w:val="0"/>
          <w:i w:val="0"/>
        </w:rPr>
        <w:t>Compare like with like</w:t>
      </w:r>
    </w:p>
    <w:p>
      <w:pPr/>
      <w:r>
        <w:rPr>
          <w:b w:val="0"/>
          <w:i w:val="0"/>
        </w:rPr>
        <w:t>For a future pilot, define an observation window relative to joining or starting an activity. Compare launch-period and later arrivals over equivalent windows, rather than unequal calendar totals. State denominators, opportunities to receive feedback and missing outcomes. Where feasible, test one design change at a time; descriptive differences alone do not establish causality.</w:t>
      </w:r>
    </w:p>
    <w:p>
      <w:pPr>
        <w:pStyle w:val="Heading1"/>
      </w:pPr>
      <w:r>
        <w:rPr>
          <w:b w:val="0"/>
          <w:i w:val="0"/>
        </w:rPr>
        <w:t>Let participants control what becomes evaluation evidence</w:t>
      </w:r>
    </w:p>
    <w:p>
      <w:pPr/>
      <w:r>
        <w:rPr>
          <w:b w:val="0"/>
          <w:i w:val="0"/>
        </w:rPr>
        <w:t>Collect only what is needed for the stated purpose. Separate identity from activity records, explain visibility and retention, and provide optional ways to share an artifact or outcome. Do not infer consent for private-message reuse from general participation. Shared work, voluntary reflections and transparent milestone records may answer the design questions more directly than broad monitoring of private messages.</w:t>
      </w:r>
    </w:p>
    <w:p>
      <w:pPr/>
      <w:r>
        <w:rPr>
          <w:b w:val="0"/>
          <w:i w:val="0"/>
          <w:color w:val="617785"/>
          <w:sz w:val="17"/>
        </w:rPr>
        <w:t>A practical success criterion would combine access to participation with evidence of meaningful action. Avoid a single “engagement score” that merges welcome notices, social replies, support and creative work.</w:t>
      </w:r>
    </w:p>
    <w:p>
      <w:r>
        <w:br w:type="page"/>
      </w:r>
    </w:p>
    <w:p>
      <w:pPr>
        <w:pStyle w:val="Title"/>
      </w:pPr>
      <w:r>
        <w:t>Evidence, limitations and sources</w:t>
      </w:r>
    </w:p>
    <w:p>
      <w:pPr>
        <w:spacing w:after="280"/>
      </w:pPr>
      <w:r>
        <w:rPr>
          <w:color w:val="617785"/>
          <w:sz w:val="20"/>
        </w:rPr>
        <w:t>A bounded internal review; useful for design, with explicit limits on measurement.</w:t>
      </w:r>
    </w:p>
    <w:p>
      <w:pPr>
        <w:pStyle w:val="Heading1"/>
      </w:pPr>
      <w:r>
        <w:rPr>
          <w:b w:val="0"/>
          <w:i w:val="0"/>
        </w:rPr>
        <w:t>What was reviewed</w:t>
      </w:r>
    </w:p>
    <w:p>
      <w:pPr/>
      <w:r>
        <w:rPr>
          <w:b w:val="0"/>
          <w:i w:val="0"/>
        </w:rPr>
        <w:t>The verified private derivative contains 2,264 topics and 2,373 posts. The earlier local pass used 122 units: all 61 multipost topics individually and 61 groups of exactly identical sole-post bodies. Reused sole-post bodies were reviewed once; their differing subject lines were not independently interpreted. The same on-device model generated and checked summaries.</w:t>
      </w:r>
    </w:p>
    <w:p>
      <w:pPr/>
      <w:r>
        <w:rPr>
          <w:b w:val="0"/>
          <w:i w:val="0"/>
        </w:rPr>
        <w:t>Individual summaries for 110 units passed the local filters. Twelve remained withheld after rewriting: seven revised drafts were flagged for unsupported claims and five others failed deterministic filtering despite model approval. Those units were considered only through combined generic themes. No individual account narrative is reproduced here.</w:t>
      </w:r>
    </w:p>
    <w:p>
      <w:pPr>
        <w:pStyle w:val="Heading1"/>
      </w:pPr>
      <w:r>
        <w:rPr>
          <w:b w:val="0"/>
          <w:i w:val="0"/>
        </w:rPr>
        <w:t>What is measured, and what is interpretation</w:t>
      </w:r>
    </w:p>
    <w:p>
      <w:pPr/>
      <w:r>
        <w:rPr>
          <w:b w:val="0"/>
          <w:i w:val="0"/>
        </w:rPr>
        <w:t>This expansion adds deterministic timestamp and exact-body aggregates. Counts reconcile to the verified inventory. Topics are assigned by creation year; posts by their own creation year. Source timezones are unstated, so timestamps were not converted. Thread spans use earliest and latest recorded creation timestamps, accommodating a nonchronological post-number sequence.</w:t>
      </w:r>
    </w:p>
    <w:p>
      <w:pPr/>
      <w:r>
        <w:rPr>
          <w:b w:val="0"/>
          <w:i w:val="0"/>
        </w:rPr>
        <w:t>Fine-grained model category, outcome and learning counts proved unreliable and were excluded. The broad thematic synthesis is provisional and machine-assisted, not independent human coding. The proposed collaboration sequence and design priorities are interpretations and hypotheses. Public/private comparisons, participant trajectories, sentiment trends and causal learning effects are unsupported here.</w:t>
      </w:r>
    </w:p>
    <w:p>
      <w:pPr>
        <w:pStyle w:val="Heading1"/>
      </w:pPr>
      <w:r>
        <w:rPr>
          <w:b w:val="0"/>
          <w:i w:val="0"/>
        </w:rPr>
        <w:t>Preservation and privacy</w:t>
      </w:r>
    </w:p>
    <w:p>
      <w:pPr/>
      <w:r>
        <w:rPr>
          <w:b w:val="0"/>
          <w:i w:val="0"/>
        </w:rPr>
        <w:t>The supplied audit kit’s five tests and checksum checks passed. Original and frozen derivative files remain preserved. Media and external destinations mentioned in messages were not retrieved; a numbering anomaly and full-snapshot coverage questions remain unresolved.</w:t>
      </w:r>
    </w:p>
    <w:p>
      <w:pPr/>
      <w:r>
        <w:rPr>
          <w:b w:val="0"/>
          <w:i w:val="0"/>
        </w:rPr>
        <w:t>An earlier generated paraphrase included identifying details in a private task tool result after an overly permissive model check, crossing the local-only boundary. It was excluded from report examples and stricter filtering was added. Prior processing cannot be undone by deleting a local draft. This export contains aggregate findings and generic discussion only; no source quotations, participant identifiers or case stories. Historical permissions for future formal research or publication remain a separate scope question.</w:t>
      </w:r>
    </w:p>
    <w:p>
      <w:pPr>
        <w:pStyle w:val="Heading1"/>
      </w:pPr>
      <w:r>
        <w:rPr>
          <w:b w:val="0"/>
          <w:i w:val="0"/>
        </w:rPr>
        <w:t>Sources and provenance</w:t>
      </w:r>
    </w:p>
    <w:p>
      <w:pPr/>
      <w:r>
        <w:rPr>
          <w:b w:val="0"/>
          <w:i w:val="0"/>
        </w:rPr>
        <w:t xml:space="preserve">[1] P2PU, </w:t>
      </w:r>
      <w:r>
        <w:rPr>
          <w:b w:val="0"/>
          <w:i/>
        </w:rPr>
        <w:t>Play With Your Music</w:t>
      </w:r>
      <w:r>
        <w:rPr>
          <w:b w:val="0"/>
          <w:i w:val="0"/>
        </w:rPr>
        <w:t>: public account of the 2013 course and announcement of PWYM 2.0. https://reports.p2pu.org/play-with-your-music/</w:t>
      </w:r>
    </w:p>
    <w:p>
      <w:pPr/>
      <w:r>
        <w:rPr>
          <w:b w:val="0"/>
          <w:i w:val="0"/>
        </w:rPr>
        <w:t xml:space="preserve">[2] Ethan Hein, </w:t>
      </w:r>
      <w:r>
        <w:rPr>
          <w:b w:val="0"/>
          <w:i/>
        </w:rPr>
        <w:t>Announcing the Peter Gabriel edition of Play With Your Music</w:t>
      </w:r>
      <w:r>
        <w:rPr>
          <w:b w:val="0"/>
          <w:i w:val="0"/>
        </w:rPr>
        <w:t>, April 25, 2014. https://www.ethanhein.com/wp/2014/announcing-the-peter-gabriel-edition-of-play-with-your-music/</w:t>
      </w:r>
    </w:p>
    <w:p>
      <w:pPr/>
      <w:r>
        <w:rPr>
          <w:b w:val="0"/>
          <w:i w:val="0"/>
        </w:rPr>
        <w:t>[3] Local restricted evidence: original manifest and structural audit; CONTEXTUAL-REVIEW.txt and its method note; temporal-audit.json for this expansion. The private archive, draft summaries and internal identifiers are not included in the exported files.</w:t>
      </w:r>
    </w:p>
    <w:p>
      <w:pPr/>
      <w:r>
        <w:rPr>
          <w:b w:val="0"/>
          <w:i w:val="0"/>
          <w:color w:val="617785"/>
          <w:sz w:val="17"/>
        </w:rPr>
        <w:t>Prepared 20 October 2026 (Asia/Shanghai). Historical source timestamps retain their original, unspecified timezone. Public source pages were checked for this expansion.</w:t>
      </w:r>
    </w:p>
    <w:sectPr w:rsidR="00FC693F" w:rsidRPr="0006063C" w:rsidSect="00034616">
      <w:footerReference w:type="default" r:id="rId10"/>
      <w:pgSz w:w="11905" w:h="16838"/>
      <w:pgMar w:top="864" w:right="878" w:bottom="864" w:left="8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17785"/>
        <w:sz w:val="16"/>
      </w:rPr>
      <w:t xml:space="preserve">PWYM | Internal project review | Aggregate findings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6D6E"/>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2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PWYM: collaboration, interaction and future MOOC design</dc:title>
  <dc:subject>Non-identifying contextual synthesis and temporal aggregates</dc:subject>
  <dc:creator>Internal project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