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DOC-001 — PMOC Software — Product Charter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Identificador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DOC-001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Documento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PMOC Software — Product Charter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Projeto de engenharia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PMOC Software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Versão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0.2 DRAFT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Versão anterior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0.1 DRAFT (baseline histórica, preservada)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Data desta revisão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22/09/2026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Origem das alterações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Services.NET Phase 1 Audit — Approved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Fase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Fase 1 — Product Charter e Escopo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Organização responsável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Services.NET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Autor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Opus (agente de análise, arquitetura e documentação)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Status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Aguardando segunda revisão formal da Services.NET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Documento pai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PMOC Software — Product &amp; Engineering Master Specification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  <w:jc w:val="both"/>
      </w:pPr>
      <w:r>
        <w:rPr>
          <w:b/>
          <w:bCs/>
        </w:rPr>
        <w:t xml:space="preserve">Aviso de natureza do documento.</w:t>
      </w:r>
      <w:r>
        <w:t xml:space="preserve"> Este Charter consolida a intenção de produto conhecida nesta data. Itens não confirmados pela Services.NET ou pelo cliente-piloto estão registrados explicitamente como </w:t>
      </w:r>
      <w:r>
        <w:rPr>
          <w:b/>
          <w:bCs/>
        </w:rPr>
        <w:t xml:space="preserve">hipótese (ASM-###)</w:t>
      </w:r>
      <w:r>
        <w:t xml:space="preserve"> ou </w:t>
      </w:r>
      <w:r>
        <w:rPr>
          <w:b/>
          <w:bCs/>
        </w:rPr>
        <w:t xml:space="preserve">questão aberta (OQ-###)</w:t>
      </w:r>
      <w:r>
        <w:t xml:space="preserve"> e não constituem requisito aprovado. A aceitação da auditoria da Fase 1 pela Services.NET </w:t>
      </w:r>
      <w:r>
        <w:rPr>
          <w:b/>
          <w:bCs/>
        </w:rPr>
        <w:t xml:space="preserve">não converte</w:t>
      </w:r>
      <w:r>
        <w:t xml:space="preserve"> as decisões propostas (DEC-001 a DEC-010) em decisões definitivas.</w:t>
      </w:r>
    </w:p>
    <w:p>
      <w:pPr>
        <w:pStyle w:val="Heading2"/>
      </w:pPr>
      <w:r>
        <w:t xml:space="preserve">1. Identificação do projeto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Conteúdo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Nome do projeto de engenharia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PMOC Software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Nome comercial do produto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Não definido.</w:t>
            </w:r>
            <w:r>
              <w:t xml:space="preserve"> Não será arbitrado nesta fase (ver OQ-001)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Descrição conceitual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Plataforma de Gestão de Manutenção, Ativos e Conformidade para Sistemas de Climatização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Domínio regulatório inicial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PMOC — Plano de Manutenção, Operação e Controle (Brasil)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Modelo de entrega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SaaS multi-tenant, Web First, API First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Fase atual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Concepção — Fase 1 de 10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t xml:space="preserve">2. Patrocinador</w:t>
      </w:r>
    </w:p>
    <w:p>
      <w:pPr>
        <w:spacing w:after="120"/>
        <w:jc w:val="both"/>
      </w:pPr>
      <w:r>
        <w:t xml:space="preserve">O patrocínio executivo do projeto é atribuído à Services.NET. A pessoa física ou papel formal que exerce o patrocínio (</w:t>
      </w:r>
      <w:r>
        <w:rPr>
          <w:b/>
          <w:bCs/>
        </w:rPr>
        <w:t xml:space="preserve">Sponsor</w:t>
      </w:r>
      <w:r>
        <w:t xml:space="preserve">), com autoridade sobre orçamento, priorização e aprovação de marcos, </w:t>
      </w:r>
      <w:r>
        <w:rPr>
          <w:b/>
          <w:bCs/>
        </w:rPr>
        <w:t xml:space="preserve">ainda não foi informado</w:t>
      </w:r>
      <w:r>
        <w:t xml:space="preserve"> e deve ser preenchido antes do encerramento da Fase 1 (OQ-002).</w:t>
      </w:r>
    </w:p>
    <w:p>
      <w:pPr>
        <w:pStyle w:val="Heading2"/>
      </w:pPr>
      <w:r>
        <w:t xml:space="preserve">3. Proprietário do produto</w:t>
      </w:r>
    </w:p>
    <w:p>
      <w:pPr>
        <w:spacing w:after="120"/>
        <w:jc w:val="both"/>
      </w:pPr>
      <w:r>
        <w:t xml:space="preserve">O papel de </w:t>
      </w:r>
      <w:r>
        <w:rPr>
          <w:b/>
          <w:bCs/>
        </w:rPr>
        <w:t xml:space="preserve">Product Owner</w:t>
      </w:r>
      <w:r>
        <w:t xml:space="preserve"> — responsável por priorização de backlog, aceite funcional e decisão de escopo — </w:t>
      </w:r>
      <w:r>
        <w:rPr>
          <w:b/>
          <w:bCs/>
        </w:rPr>
        <w:t xml:space="preserve">ainda não foi designado</w:t>
      </w:r>
      <w:r>
        <w:t xml:space="preserve"> (OQ-003). Enquanto não designado, decisões de escopo permanecem pendentes e são registradas no Decision Log (XLS-004) com status </w:t>
      </w:r>
      <w:r>
        <w:rPr>
          <w:rFonts w:ascii="Consolas" w:cs="Consolas" w:eastAsia="Consolas" w:hAnsi="Consolas"/>
          <w:sz w:val="20"/>
          <w:szCs w:val="20"/>
        </w:rPr>
        <w:t xml:space="preserve">Proposta</w:t>
      </w:r>
      <w:r>
        <w:t xml:space="preserve">.</w:t>
      </w:r>
    </w:p>
    <w:p>
      <w:pPr>
        <w:pStyle w:val="Heading2"/>
      </w:pPr>
      <w:r>
        <w:t xml:space="preserve">4. Organização responsável</w:t>
      </w:r>
    </w:p>
    <w:p>
      <w:pPr>
        <w:spacing w:after="120"/>
        <w:jc w:val="both"/>
      </w:pPr>
      <w:r>
        <w:t xml:space="preserve">A </w:t>
      </w:r>
      <w:r>
        <w:rPr>
          <w:b/>
          <w:bCs/>
        </w:rPr>
        <w:t xml:space="preserve">Services.NET</w:t>
      </w:r>
      <w:r>
        <w:t xml:space="preserve"> atua no desenvolvimento, implantação, gerenciamento e modernização de soluções de tecnologia. Neste projeto, a Services.NET é simultaneamente: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fornecedora da engenharia de software;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operadora da plataforma SaaS (hipótese ASM-002, a confirmar quanto a responsabilidade de operação e SLA);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responsável pela governança técnica, pelas decisões arquiteturais (ADRs) e pela documentação.</w:t>
      </w:r>
    </w:p>
    <w:p>
      <w:pPr>
        <w:pStyle w:val="Heading2"/>
      </w:pPr>
      <w:r>
        <w:t xml:space="preserve">5. Contexto</w:t>
      </w:r>
    </w:p>
    <w:p>
      <w:pPr>
        <w:spacing w:after="120"/>
        <w:jc w:val="both"/>
      </w:pPr>
      <w:r>
        <w:t xml:space="preserve">Empresas prestadoras de serviços de climatização, refrigeração e manutenção de sistemas HVAC operam um ciclo que vai da carteira de clientes até a comprovação documental de conformidade. Esse ciclo envolve </w:t>
      </w:r>
      <w:r>
        <w:rPr>
          <w:b/>
          <w:bCs/>
        </w:rPr>
        <w:t xml:space="preserve">clientes da prestadora</w:t>
      </w:r>
      <w:r>
        <w:t xml:space="preserve">, </w:t>
      </w:r>
      <w:r>
        <w:rPr>
          <w:b/>
          <w:bCs/>
        </w:rPr>
        <w:t xml:space="preserve">unidades</w:t>
      </w:r>
      <w:r>
        <w:t xml:space="preserve">, </w:t>
      </w:r>
      <w:r>
        <w:rPr>
          <w:b/>
          <w:bCs/>
        </w:rPr>
        <w:t xml:space="preserve">ambientes</w:t>
      </w:r>
      <w:r>
        <w:t xml:space="preserve">, </w:t>
      </w:r>
      <w:r>
        <w:rPr>
          <w:b/>
          <w:bCs/>
        </w:rPr>
        <w:t xml:space="preserve">sistemas HVAC</w:t>
      </w:r>
      <w:r>
        <w:t xml:space="preserve">, </w:t>
      </w:r>
      <w:r>
        <w:rPr>
          <w:b/>
          <w:bCs/>
        </w:rPr>
        <w:t xml:space="preserve">equipamentos</w:t>
      </w:r>
      <w:r>
        <w:t xml:space="preserve">, componentes, planos de manutenção, cronogramas, </w:t>
      </w:r>
      <w:r>
        <w:rPr>
          <w:b/>
          <w:bCs/>
        </w:rPr>
        <w:t xml:space="preserve">ordens de serviço (OS)</w:t>
      </w:r>
      <w:r>
        <w:t xml:space="preserve">, execução em campo, checklists, medições, </w:t>
      </w:r>
      <w:r>
        <w:rPr>
          <w:b/>
          <w:bCs/>
        </w:rPr>
        <w:t xml:space="preserve">evidências</w:t>
      </w:r>
      <w:r>
        <w:t xml:space="preserve">, </w:t>
      </w:r>
      <w:r>
        <w:rPr>
          <w:b/>
          <w:bCs/>
        </w:rPr>
        <w:t xml:space="preserve">não conformidades</w:t>
      </w:r>
      <w:r>
        <w:t xml:space="preserve">, ações corretivas, histórico, indicadores, relatórios e auditoria.</w:t>
      </w:r>
    </w:p>
    <w:p>
      <w:pPr>
        <w:spacing w:after="120"/>
        <w:jc w:val="both"/>
      </w:pPr>
      <w:r>
        <w:t xml:space="preserve">Grande parte desse ciclo é hoje conduzida, no mercado-alvo típico, com planilhas, documentos avulsos, mensageria informal e arquivos de fotos sem vínculo estruturado com o </w:t>
      </w:r>
      <w:r>
        <w:rPr>
          <w:b/>
          <w:bCs/>
        </w:rPr>
        <w:t xml:space="preserve">ativo</w:t>
      </w:r>
      <w:r>
        <w:t xml:space="preserve"> ou com o </w:t>
      </w:r>
      <w:r>
        <w:rPr>
          <w:b/>
          <w:bCs/>
        </w:rPr>
        <w:t xml:space="preserve">requisito regulatório</w:t>
      </w:r>
      <w:r>
        <w:t xml:space="preserve"> correspondente (ASM-003 — caracterização do cenário atual ainda não validada por pesquisa formal com o cliente-piloto).</w:t>
      </w:r>
    </w:p>
    <w:p>
      <w:pPr>
        <w:pStyle w:val="Heading3"/>
      </w:pPr>
      <w:r>
        <w:t xml:space="preserve">5.1 Matriz regulatória preliminar</w:t>
      </w:r>
    </w:p>
    <w:p>
      <w:pPr>
        <w:spacing w:after="120"/>
        <w:jc w:val="both"/>
      </w:pPr>
      <w:r>
        <w:t xml:space="preserve">O domínio possui componente regulatório relevante e </w:t>
      </w:r>
      <w:r>
        <w:rPr>
          <w:b/>
          <w:bCs/>
        </w:rPr>
        <w:t xml:space="preserve">mutável</w:t>
      </w:r>
      <w:r>
        <w:t xml:space="preserve">. Esta matriz é </w:t>
      </w:r>
      <w:r>
        <w:rPr>
          <w:b/>
          <w:bCs/>
        </w:rPr>
        <w:t xml:space="preserve">preliminar</w:t>
      </w:r>
      <w:r>
        <w:t xml:space="preserve"> e não substitui a matriz regulatória oficial do produto, a ser construída na Fase 2 com validação jurídica e de responsável técnico.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Norma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Órgão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Natureza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Situação registrada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Data da consulta</w:t>
            </w:r>
          </w:p>
        </w:tc>
      </w:tr>
      <w:tr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Lei nº 13.589/2018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Congresso Nacional / Presidência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Lei federal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Publicada; exige PMOC para edifícios de uso público e coletivo com ambientes de ar interior climatizado artificialmente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22/09/2026</w:t>
            </w:r>
          </w:p>
        </w:tc>
      </w:tr>
      <w:tr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Portaria GM/MS nº 3.523/1998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Ministério da Saúde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Regulamento técnico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>Fonte oficial disponível no acervo Saúde Legis/Biblioteca Virtual em Saúde do Ministério da Saúde. Art. 6º confirmado: proprietários, locatários e prepostos responsáveis por sistemas de climatização com capacidade acima de 5 TR (15.000 kcal/h = 60.000 BTU/h) devem manter responsável técnico habilitado; a alínea a atribui a implantação e manutenção disponível no imóvel do PMOC. Permanece aberta apenas a confirmação jurídica formal de eventual alteração, revogação, consolidação ou extensão atual (OQ-012).</w:t>
            </w:r>
            <w:r>
              <w:rPr>
                <w:b/>
                <w:bCs/>
              </w:rPr>
            </w:r>
            <w:r/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22/09/2026</w:t>
            </w:r>
          </w:p>
        </w:tc>
      </w:tr>
      <w:tr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RE/ANVISA nº 9/2003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ANVISA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Resolução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Revogada</w:t>
            </w:r>
            <w:r>
              <w:t xml:space="preserve"> pela RDC/ANVISA nº 886, de 10/07/2024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22/09/2026</w:t>
            </w:r>
          </w:p>
        </w:tc>
      </w:tr>
      <w:tr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RDC/ANVISA nº 886/2024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ANVISA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Resolução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Instrumento de revogação expressa do ciclo 2023–2024 de consolidação normativa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22/09/2026</w:t>
            </w:r>
          </w:p>
        </w:tc>
      </w:tr>
      <w:tr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ABNT NBR 17037</w:t>
            </w:r>
            <w:r>
              <w:t xml:space="preserve"> — Qualidade do ar interior em ambientes não residenciais climatizados artificialmente — Padrões referenciais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ABNT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Norma técnica</w:t>
            </w:r>
            <w:r>
              <w:t xml:space="preserve"> (protegida por direito autoral)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>Norma técnica protegida por direito autoral. Indicada como referência para qualidade do ar interior após a revogação da RE nº 9/2003 pelo Guia nº 73/2024, versão 2, da ANVISA (Biblioteca Digital item 17752). Conteúdo não reproduzível; edição aplicável, parâmetros e extensão da aplicabilidade permanecem sob validação jurídica e técnica (OQ-004).</w:t>
            </w:r>
            <w:r>
              <w:rPr>
                <w:b/>
                <w:bCs/>
              </w:rPr>
            </w:r>
            <w:r/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22/09/2026</w:t>
            </w:r>
          </w:p>
        </w:tc>
      </w:tr>
      <w:tr>
        <w:tc>
          <w:tcPr>
            <w:tcW w:type="dxa" w:w="1872"/>
          </w:tcPr>
          <w:p>
            <w:r>
              <w:t>Guia nº 73/2024, versão 2, de 03/04/2025 — Guia de boas práticas em células e tecidos humanos para uso terapêutico</w:t>
            </w:r>
          </w:p>
        </w:tc>
        <w:tc>
          <w:tcPr>
            <w:tcW w:type="dxa" w:w="1872"/>
          </w:tcPr>
          <w:p>
            <w:r>
              <w:t>ANVISA</w:t>
            </w:r>
          </w:p>
        </w:tc>
        <w:tc>
          <w:tcPr>
            <w:tcW w:type="dxa" w:w="1872"/>
          </w:tcPr>
          <w:p>
            <w:r>
              <w:t>Guia regulatório não normativo, recomendatório e não vinculante</w:t>
            </w:r>
          </w:p>
        </w:tc>
        <w:tc>
          <w:tcPr>
            <w:tcW w:type="dxa" w:w="1872"/>
          </w:tcPr>
          <w:p>
            <w:r>
              <w:t>Biblioteca Digital da Anvisa, item 17752; AnvisaLegis: publicação em 03/04/2025, status vigente; vigente a partir de 04/04/2025. Registra que a RE nº 9/2003 foi revogada pela RDC nº 886/2024 e que a ABNT NBR 17037, em sua versão mais atual, passou a ser referência para qualidade do ar interior.</w:t>
            </w:r>
          </w:p>
        </w:tc>
        <w:tc>
          <w:tcPr>
            <w:tcW w:type="dxa" w:w="1872"/>
          </w:tcPr>
          <w:p>
            <w:r>
              <w:t>22/09/2026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</w:pPr>
      <w:r>
        <w:t xml:space="preserve">5.2 Natureza jurídica da ABNT NBR 17037 — tratamento obrigatório</w:t>
      </w:r>
    </w:p>
    <w:p>
      <w:pPr>
        <w:spacing w:after="120"/>
        <w:jc w:val="both"/>
      </w:pPr>
      <w:r>
        <w:t xml:space="preserve">A ABNT NBR 17037 é </w:t>
      </w:r>
      <w:r>
        <w:rPr>
          <w:b/>
          <w:bCs/>
        </w:rPr>
        <w:t xml:space="preserve">norma técnica</w:t>
      </w:r>
      <w:r>
        <w:t xml:space="preserve">, não lei, portaria ou resolução. A plataforma </w:t>
      </w:r>
      <w:r>
        <w:rPr>
          <w:b/>
          <w:bCs/>
        </w:rPr>
        <w:t xml:space="preserve">não</w:t>
      </w:r>
      <w:r>
        <w:t xml:space="preserve"> declarará que ela possui automaticamente o mesmo status jurídico desses instrumentos. O que está registrado é:</w:t>
      </w:r>
    </w:p>
    <w:p>
      <w:pPr>
        <w:pStyle w:val="ListParagraph"/>
        <w:numPr>
          <w:ilvl w:val="0"/>
          <w:numId w:val="3"/>
        </w:numPr>
        <w:spacing w:after="40"/>
      </w:pPr>
      <w:r>
        <w:t>a existência de orientação oficial da ANVISA indicando seu uso como referência para qualidade do ar interior após a revogação da RE nº 9/2003, registrada no Guia nº 73/2024, versão 2, de 03/04/2025, Biblioteca Digital da Anvisa item 17752;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sua natureza de norma técnica publicada pela ABNT;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a necessidade de </w:t>
      </w:r>
      <w:r>
        <w:rPr>
          <w:b/>
          <w:bCs/>
        </w:rPr>
        <w:t xml:space="preserve">aquisição legítima</w:t>
      </w:r>
      <w:r>
        <w:t xml:space="preserve"> da norma para consulta interna (DEP-003);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a necessidade de </w:t>
      </w:r>
      <w:r>
        <w:rPr>
          <w:b/>
          <w:bCs/>
        </w:rPr>
        <w:t xml:space="preserve">validação jurídica e de responsável técnico</w:t>
      </w:r>
      <w:r>
        <w:t xml:space="preserve"> quanto à extensão da sua aplicabilidade ao produto e a cada requisito derivado (OQ-004);</w:t>
      </w:r>
    </w:p>
    <w:p>
      <w:pPr>
        <w:pStyle w:val="ListParagraph"/>
        <w:numPr>
          <w:ilvl w:val="0"/>
          <w:numId w:val="3"/>
        </w:numPr>
        <w:spacing w:after="40"/>
      </w:pPr>
      <w:r>
        <w:t>OQ-019 foi respondida e encerrada nesta revisão local com o registro da referência oficial exata da ANVISA;</w:t>
      </w:r>
      <w:r>
        <w:rPr>
          <w:b/>
          <w:bCs/>
        </w:rPr>
      </w:r>
      <w:r/>
    </w:p>
    <w:p>
      <w:pPr>
        <w:spacing w:after="120"/>
        <w:jc w:val="both"/>
      </w:pPr>
      <w:r>
        <w:t xml:space="preserve">Parâmetros, faixas, limites e periodicidades derivados dessa norma </w:t>
      </w:r>
      <w:r>
        <w:rPr>
          <w:b/>
          <w:bCs/>
        </w:rPr>
        <w:t xml:space="preserve">não foram carregados</w:t>
      </w:r>
      <w:r>
        <w:t xml:space="preserve"> nesta fase e não o serão sem validação (ver §9 e DOC-006/CAP-033).</w:t>
      </w:r>
    </w:p>
    <w:p>
      <w:pPr>
        <w:pStyle w:val="Heading3"/>
      </w:pPr>
      <w:r>
        <w:t xml:space="preserve">5.3 Distinção de regras: aplicabilidade do PMOC × exigência de responsável técnico</w:t>
      </w:r>
    </w:p>
    <w:p>
      <w:pPr>
        <w:spacing w:after="120"/>
        <w:jc w:val="both"/>
      </w:pPr>
      <w:r>
        <w:t xml:space="preserve">A documentação deixa de tratar o limite de capacidade como uma divergência única sobre "PMOC obrigatório acima ou abaixo de 60.000 BTU/h". São </w:t>
      </w:r>
      <w:r>
        <w:rPr>
          <w:b/>
          <w:bCs/>
        </w:rPr>
        <w:t xml:space="preserve">regras conceitualmente distintas</w:t>
      </w:r>
      <w:r>
        <w:t xml:space="preserve">, que serão modeladas separadamente: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Regra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Objeto da regra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Instrumento relacionado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Condição de modelagem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Regra A — Aplicabilidade do PMOC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Determina se uma unidade, ambiente ou sistema HVAC está sujeito à obrigação de possuir PMOC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Lei nº 13.589/2018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>No contexto federal documentado nesta revisão, o limite de 5 TR / 60.000 BTU/h não é tratado como limiar geral para a existência de PMOC. Critérios complementares ficam restritos a normas estaduais, municipais, setoriais, exigências contratuais ou situações de uso restrito (OQ-021 reformulada).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Regra B — Exigência de responsável técnico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Determina quando a execução/responsabilidade técnica exige profissional habilitado, associada a limite de capacidade previsto no instrumento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>Portaria GM/MS nº 3.523/1998, Art. 6º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>Art. 6º da Portaria GM/MS nº 3.523/1998 confirmado como fundamento: capacidade acima de 5 TR (15.000 kcal/h = 60.000 BTU/h) exige responsável técnico habilitado, com implantação e manutenção disponível no imóvel do PMOC conforme alínea a. OQ-012 permanece apenas para confirmação jurídica formal de alteração, revogação, consolidação ou extensão atual.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  <w:jc w:val="both"/>
      </w:pPr>
      <w:r>
        <w:rPr>
          <w:b/>
          <w:bCs/>
        </w:rPr>
        <w:t>Regra de produto: no contexto federal documentado nesta revisão, o limite de 5 TR / 60.000 BTU/h integra a Regra B (exigência de responsável técnico) e não deve ser usado automaticamente como condição geral para a existência de PMOC na Regra A. OQ-021 fica reformulada para tratar apenas de normas estaduais, municipais, regulamentações setoriais específicas, exigências contratuais e situações de uso restrito. Ambas as regras serão representadas como ApplicabilityRule distintas no modelo de Compliance as Data (§9), sem qualquer valor carregado nesta fase.</w:t>
      </w:r>
      <w:r/>
      <w:r>
        <w:rPr>
          <w:b/>
          <w:bCs/>
        </w:rPr>
      </w:r>
      <w:r/>
      <w:r>
        <w:rPr>
          <w:rFonts w:ascii="Consolas" w:cs="Consolas" w:eastAsia="Consolas" w:hAnsi="Consolas"/>
          <w:sz w:val="20"/>
          <w:szCs w:val="20"/>
        </w:rPr>
      </w:r>
      <w:r/>
    </w:p>
    <w:p>
      <w:pPr>
        <w:pStyle w:val="Heading2"/>
      </w:pPr>
      <w:r>
        <w:t xml:space="preserve">6. Problema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Problema observado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Consequência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PRB-001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Inventário de ativos de climatização disperso e desatualizado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Impossibilidade de planejar manutenção com base em realidade física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PRB-002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Planos e cronogramas mantidos fora de um sistema de registro único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Perda de periodicidade, atrasos e retrabalho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PRB-003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Execução de campo registrada em papel, mensageria ou memória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Baixa confiabilidade do histórico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PRB-004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Evidências desvinculadas do ativo e do requisito regulatório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Dificuldade de comprovação perante fiscalização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PRB-005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Regras regulatórias embutidas em documentos estáticos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Defasagem silenciosa quando a norma muda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PRB-006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Ausência de indicadores operacionais confiáveis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Gestão reativa; margem e produtividade desconhecidas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PRB-007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Rastreabilidade insuficiente de quem fez o quê, quando e com qual resultado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Risco jurídico, sanitário e contratual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  <w:jc w:val="both"/>
      </w:pPr>
      <w:r>
        <w:t xml:space="preserve">A revogação da RE/ANVISA nº 9/2003 e a transição da referência técnica de qualidade do ar são um </w:t>
      </w:r>
      <w:r>
        <w:rPr>
          <w:b/>
          <w:bCs/>
        </w:rPr>
        <w:t xml:space="preserve">caso concreto de PRB-005</w:t>
      </w:r>
      <w:r>
        <w:t xml:space="preserve">: documentos que citam a norma revogada tornaram-se desatualizados sem qualquer sinalização automática.</w:t>
      </w:r>
    </w:p>
    <w:p>
      <w:pPr>
        <w:pStyle w:val="Heading2"/>
      </w:pPr>
      <w:r>
        <w:t xml:space="preserve">7. Oportunidade</w:t>
      </w:r>
    </w:p>
    <w:p>
      <w:pPr>
        <w:spacing w:after="120"/>
        <w:jc w:val="both"/>
      </w:pPr>
      <w:r>
        <w:t xml:space="preserve">Consolidar, em uma plataforma única, o ciclo operacional e probatório da prestadora de serviços de climatização, transformando a conformidade regulatória de um esforço documental episódico em um </w:t>
      </w:r>
      <w:r>
        <w:rPr>
          <w:b/>
          <w:bCs/>
        </w:rPr>
        <w:t xml:space="preserve">subproduto natural da operação diária registrada</w:t>
      </w:r>
      <w:r>
        <w:t xml:space="preserve">. A oportunidade adicional é arquitetural: tratar requisitos regulatórios como </w:t>
      </w:r>
      <w:r>
        <w:rPr>
          <w:b/>
          <w:bCs/>
        </w:rPr>
        <w:t xml:space="preserve">dado versionado</w:t>
      </w:r>
      <w:r>
        <w:t xml:space="preserve"> permite absorver mudanças normativas — como a ocorrida com a RE nº 9/2003 — sem reconstrução do sistema.</w:t>
      </w:r>
    </w:p>
    <w:p>
      <w:pPr>
        <w:pStyle w:val="Heading2"/>
      </w:pPr>
      <w:r>
        <w:t xml:space="preserve">8. Visão</w:t>
      </w:r>
    </w:p>
    <w:p>
      <w:pPr>
        <w:spacing w:after="120"/>
        <w:jc w:val="both"/>
      </w:pPr>
      <w:r>
        <w:t xml:space="preserve">Uma plataforma de gestão de manutenção, ativos, operações de campo e conformidade na qual cada intervenção executada produz evidência rastreável, cada ativo possui histórico íntegro e cada requisito regulatório é representado como dado versionado, verificável e auditável.</w:t>
      </w:r>
    </w:p>
    <w:p>
      <w:pPr>
        <w:pStyle w:val="Heading2"/>
      </w:pPr>
      <w:r>
        <w:t xml:space="preserve">9. Missão do produto</w:t>
      </w:r>
    </w:p>
    <w:p>
      <w:pPr>
        <w:spacing w:after="120"/>
        <w:jc w:val="both"/>
      </w:pPr>
      <w:r>
        <w:t xml:space="preserve">Permitir que prestadoras de serviços de climatização planejem, executem, comprovem e analisem a manutenção dos sistemas HVAC de seus clientes com rastreabilidade integral, segurança e conformidade demonstrável.</w:t>
      </w:r>
    </w:p>
    <w:p>
      <w:pPr>
        <w:pStyle w:val="Heading3"/>
      </w:pPr>
      <w:r>
        <w:t xml:space="preserve">9.1 Compliance as Data — consequências desta revisão</w:t>
      </w:r>
    </w:p>
    <w:p>
      <w:pPr>
        <w:spacing w:after="120"/>
        <w:jc w:val="both"/>
      </w:pPr>
      <w:r>
        <w:t xml:space="preserve">O princípio de Compliance as Data é reafirmado e recebe três esclarecimentos decorrentes da auditoria: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Regras de aplicabilidade são múltiplas e distintas.</w:t>
      </w:r>
      <w:r>
        <w:t xml:space="preserve"> Devem existir </w:t>
      </w:r>
      <w:r>
        <w:rPr>
          <w:rFonts w:ascii="Consolas" w:cs="Consolas" w:eastAsia="Consolas" w:hAnsi="Consolas"/>
          <w:sz w:val="20"/>
          <w:szCs w:val="20"/>
        </w:rPr>
        <w:t xml:space="preserve">ApplicabilityRule</w:t>
      </w:r>
      <w:r>
        <w:t xml:space="preserve"> separadas por objeto de regulação (por exemplo, obrigação de PMOC × exigência de responsável técnico), cada uma com sua própria condição, instrumento de origem e vigência.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Capacidade estrutural ≠ conteúdo regulatório.</w:t>
      </w:r>
      <w:r>
        <w:t xml:space="preserve"> A capacidade de cadastrar, versionar, datar e referenciar parâmetros é decisão de engenharia. Os </w:t>
      </w:r>
      <w:r>
        <w:rPr>
          <w:b/>
          <w:bCs/>
        </w:rPr>
        <w:t xml:space="preserve">valores concretos</w:t>
      </w:r>
      <w:r>
        <w:t xml:space="preserve"> (limites, faixas, unidades oficiais, periodicidades) são conteúdo regulatório e dependem de validação jurídica, validação técnica e confirmação da fonte normativa.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Emissão do PMOC exige estado de referência.</w:t>
      </w:r>
      <w:r>
        <w:t xml:space="preserve"> Ver §9.2.</w:t>
      </w:r>
    </w:p>
    <w:p>
      <w:pPr>
        <w:pStyle w:val="Heading3"/>
      </w:pPr>
      <w:r>
        <w:t xml:space="preserve">9.2 Princípio preliminar — estado de referência do PMOC emitido</w:t>
      </w:r>
    </w:p>
    <w:p>
      <w:pPr>
        <w:spacing w:after="120"/>
        <w:jc w:val="both"/>
      </w:pPr>
      <w:r>
        <w:t xml:space="preserve">Quando um PMOC for emitido ou versionado, o sistema deverá futuramente permitir determinar </w:t>
      </w:r>
      <w:r>
        <w:rPr>
          <w:b/>
          <w:bCs/>
        </w:rPr>
        <w:t xml:space="preserve">qual era o estado de referência utilizado na emissão</w:t>
      </w:r>
      <w:r>
        <w:t xml:space="preserve">, de modo que um documento histórico não mude de significado porque o cadastro atual do ativo mudou depois.</w:t>
      </w:r>
    </w:p>
    <w:p>
      <w:pPr>
        <w:spacing w:after="120"/>
        <w:jc w:val="both"/>
      </w:pPr>
      <w:r>
        <w:t xml:space="preserve">Encadeamento conceitual preliminar:</w:t>
      </w:r>
    </w:p>
    <w:p>
      <w:pPr>
        <w:spacing w:after="120"/>
        <w:jc w:val="both"/>
      </w:pPr>
      <w:r>
        <w:rPr>
          <w:rFonts w:ascii="Consolas" w:cs="Consolas" w:eastAsia="Consolas" w:hAnsi="Consolas"/>
          <w:sz w:val="20"/>
          <w:szCs w:val="20"/>
        </w:rPr>
        <w:t xml:space="preserve">PMOC Version</w:t>
      </w:r>
      <w:r>
        <w:t xml:space="preserve"> → estado do inventário/ativos aplicável → versão do plano de manutenção → versões das regras utilizadas → referências regulatórias utilizadas → responsável técnico → timestamp de emissão.</w:t>
      </w:r>
    </w:p>
    <w:p>
      <w:pPr>
        <w:spacing w:after="120"/>
        <w:jc w:val="both"/>
      </w:pPr>
      <w:r>
        <w:t xml:space="preserve">Este é um </w:t>
      </w:r>
      <w:r>
        <w:rPr>
          <w:b/>
          <w:bCs/>
        </w:rPr>
        <w:t xml:space="preserve">princípio conceitual</w:t>
      </w:r>
      <w:r>
        <w:t xml:space="preserve">, não uma modelagem. Entidades, mecanismo (cópia, versionamento, referência imutável ou evento) e persistência serão definidos nas Fases 3 e 6. Registrado como questão de detalhamento em OQ-020.</w:t>
      </w:r>
    </w:p>
    <w:p>
      <w:pPr>
        <w:pStyle w:val="Heading2"/>
      </w:pPr>
      <w:r>
        <w:t xml:space="preserve">10. Objetivos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Objetivo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Horizonte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OBJ-001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Estabelecer registro único e confiável de clientes da prestadora, unidades, ambientes, sistemas HVAC e equipamentos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MVP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OBJ-002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Permitir elaboração, versionamento e emissão do PMOC a partir do inventário real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MVP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OBJ-003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Planejar e acompanhar cronogramas de manutenção derivados de regras configuráveis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MVP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OBJ-004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Registrar execução de campo com checklist, medições e evidências vinculadas ao ativo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MVP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OBJ-005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Produzir trilha de auditoria de negócio desde a primeira versão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MVP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OBJ-006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Representar requisitos regulatórios como dado versionado (Compliance as Data)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MVP (capacidade estrutural) / Pós-MVP (cobertura ampla)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OBJ-007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Fornecer indicadores operacionais e de conformidade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Pós-MVP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OBJ-008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Habilitar operação móvel e offline sem reconstrução arquitetural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Pós-MVP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OBJ-009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Permitir integrações externas e ingestão de telemetria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Futuro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t xml:space="preserve">11. Resultados esperados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Ciclo de manutenção planejável, executável e comprovável dentro de um único sistema de registro.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Evidências associadas de forma inequívoca a ativo, OS, requisito regulatório e responsável.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Redução de esforço manual na produção do PMOC e de relatórios (meta quantitativa a definir — OQ-005).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Capacidade de responder a uma fiscalização a partir de dados do sistema, sem reconstrução manual de histórico.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Base de dados estruturada que habilita analytics e, futuramente, manutenção preditiva.</w:t>
      </w:r>
    </w:p>
    <w:p>
      <w:pPr>
        <w:pStyle w:val="Heading2"/>
      </w:pPr>
      <w:r>
        <w:t xml:space="preserve">12. Usuários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Perfil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Descrição resumida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Detalhamento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Administrador do tenant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Configura a empresa prestadora, usuários, papéis e parâmetros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DOC-005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Gestor de operações / PCM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Planeja, prioriza, acompanha execução e indicadores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DOC-005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Responsável técnico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Assume responsabilidade técnica pelo PMOC e por laudos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DOC-005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Técnico de campo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Executa OS, checklists, medições e evidências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DOC-005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Back-office / administrativo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Cadastros, contratos, documentos, emissão de relatórios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DOC-005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Cliente final (portal)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Consulta status, documentos e comprovações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DOC-005 (Pós-MVP)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Auditor / fiscalização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Consome evidências e trilhas (acesso direto é Pós-MVP / A validar)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DOC-005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Operação Services.NET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Suporte, provisionamento, observabilidade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DOC-004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t xml:space="preserve">13. Stakeholders</w:t>
      </w:r>
    </w:p>
    <w:p>
      <w:pPr>
        <w:spacing w:after="120"/>
        <w:jc w:val="both"/>
      </w:pPr>
      <w:r>
        <w:t xml:space="preserve">Mapa completo em </w:t>
      </w:r>
      <w:r>
        <w:rPr>
          <w:b/>
          <w:bCs/>
        </w:rPr>
        <w:t xml:space="preserve">DOC-004 — Stakeholder Map</w:t>
      </w:r>
      <w:r>
        <w:t xml:space="preserve">. Em síntese: Services.NET (patrocínio, engenharia, operação), empresa prestadora cliente-piloto (tenant e fonte de requisitos), clientes finais, responsáveis técnicos e conselhos profissionais competentes, autoridades sanitárias, e agentes de desenvolvimento (Opus, Claude Code, GPT Codex).</w:t>
      </w:r>
    </w:p>
    <w:p>
      <w:pPr>
        <w:spacing w:after="120"/>
        <w:jc w:val="both"/>
      </w:pPr>
      <w:r>
        <w:rPr>
          <w:b/>
          <w:bCs/>
        </w:rPr>
        <w:t xml:space="preserve">Nota desta revisão:</w:t>
      </w:r>
      <w:r>
        <w:t xml:space="preserve"> as autoridades </w:t>
      </w:r>
      <w:r>
        <w:rPr>
          <w:b/>
          <w:bCs/>
        </w:rPr>
        <w:t xml:space="preserve">Jurídico/Regulatório</w:t>
      </w:r>
      <w:r>
        <w:t xml:space="preserve"> (STK-007) e </w:t>
      </w:r>
      <w:r>
        <w:rPr>
          <w:b/>
          <w:bCs/>
        </w:rPr>
        <w:t xml:space="preserve">DPO/Privacidade</w:t>
      </w:r>
      <w:r>
        <w:t xml:space="preserve"> (STK-021) passam a ser tratadas como responsabilidades distintas, ainda que possam ser exercidas pela mesma pessoa ou fornecedor.</w:t>
      </w:r>
    </w:p>
    <w:p>
      <w:pPr>
        <w:pStyle w:val="Heading2"/>
      </w:pPr>
      <w:r>
        <w:t xml:space="preserve">14. Proposta de valor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Para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Que precisa de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 plataforma oferece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Diferente de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Prestadora de climatização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Controlar operação e comprovar conformidade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Ciclo completo ativo → plano → OS → evidência → relatório, com auditoria nativa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Planilhas e documentos avulsos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Responsável técnico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Base defensável para assumir responsabilidade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Versionamento, rastreabilidade e vínculo evidência–requisito regulatório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Documentos estáticos sem histórico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Cliente final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Transparência do serviço contratado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Comprovação estruturada e acessível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Relatórios manuais de periodicidade incerta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Services.NET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Produto escalável e evolutivo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Plataforma multi-tenant com conformidade como dado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Customização por cliente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t xml:space="preserve">15. Capacidades de alto nível</w:t>
      </w:r>
    </w:p>
    <w:p>
      <w:pPr>
        <w:spacing w:after="120"/>
        <w:jc w:val="both"/>
      </w:pPr>
      <w:r>
        <w:t xml:space="preserve">Detalhamento e classificação de escopo em </w:t>
      </w:r>
      <w:r>
        <w:rPr>
          <w:b/>
          <w:bCs/>
        </w:rPr>
        <w:t xml:space="preserve">DOC-006 — Product Capabilities Map</w:t>
      </w:r>
      <w:r>
        <w:t xml:space="preserve"> (79 capacidades catalogadas). Agrupamentos: Identidade e Tenancy; Estrutura Comercial; Inventário de Ativos; Conformidade e PMOC; Programação e OS; Execução em Campo; Qualidade e Não Conformidade; Documentos e Evidências; Relatórios e Inteligência; Auditoria e Governança; Integrações e Extensões.</w:t>
      </w:r>
    </w:p>
    <w:p>
      <w:pPr>
        <w:pStyle w:val="Heading2"/>
      </w:pPr>
      <w:r>
        <w:t xml:space="preserve">16. Escopo inicial</w:t>
      </w:r>
    </w:p>
    <w:p>
      <w:pPr>
        <w:spacing w:after="120"/>
        <w:jc w:val="both"/>
      </w:pPr>
      <w:r>
        <w:t xml:space="preserve">O escopo do MVP é definido em </w:t>
      </w:r>
      <w:r>
        <w:rPr>
          <w:b/>
          <w:bCs/>
        </w:rPr>
        <w:t xml:space="preserve">DOC-007 — MVP Definition</w:t>
      </w:r>
      <w:r>
        <w:t xml:space="preserve"> e delimitado em </w:t>
      </w:r>
      <w:r>
        <w:rPr>
          <w:b/>
          <w:bCs/>
        </w:rPr>
        <w:t xml:space="preserve">DOC-003 — Project Scope</w:t>
      </w:r>
      <w:r>
        <w:t xml:space="preserve">. Em resumo, o MVP cobre: cadastro de tenant, usuários e papéis; cadastro de clientes da prestadora, unidades, ambientes, sistemas HVAC e equipamentos; planos de manutenção baseados em regras configuráveis; geração e acompanhamento de cronograma; OS com requisitos de execução por tipo; anexo de evidências; registro de não conformidades; geração do documento PMOC e relatórios operacionais essenciais; trilha de auditoria; capacidade estrutural de Compliance as Data.</w:t>
      </w:r>
    </w:p>
    <w:p>
      <w:pPr>
        <w:pStyle w:val="Heading2"/>
      </w:pPr>
      <w:r>
        <w:t xml:space="preserve">17. Fora de escopo (nesta etapa)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Aplicativos móveis nativos (Android/iOS) e operação offline — previstos, não construídos no MVP.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Módulo financeiro completo (faturamento, contas a receber, folha).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Gestão de estoque e compras.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Integrações com ERPs de terceiros.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Sensores, IoT, telemetria e manutenção preditiva.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Recursos assistidos por IA aplicados ao produto final.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Portal do cliente final com autoatendimento completo.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Definição do mecanismo de assinatura/manifestação de vontade — A validar (OQ-006)</w:t>
      </w:r>
      <w:r>
        <w:t xml:space="preserve">, sem solução tecnológica presumida.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Emissão de documentos fiscais.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Multi-idioma e múltiplas jurisdições regulatórias.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Carga de valores regulatórios concretos</w:t>
      </w:r>
      <w:r>
        <w:t xml:space="preserve"> (limites, faixas, periodicidades oficiais) sem validação jurídica e técnica.</w:t>
      </w:r>
    </w:p>
    <w:p>
      <w:pPr>
        <w:pStyle w:val="Heading2"/>
      </w:pPr>
      <w:r>
        <w:t xml:space="preserve">18. Premissas</w:t>
      </w:r>
    </w:p>
    <w:p>
      <w:pPr>
        <w:spacing w:after="120"/>
        <w:jc w:val="both"/>
      </w:pPr>
      <w:r>
        <w:t xml:space="preserve">Registro completo em </w:t>
      </w:r>
      <w:r>
        <w:rPr>
          <w:b/>
          <w:bCs/>
        </w:rPr>
        <w:t xml:space="preserve">XLS-001</w:t>
      </w:r>
      <w:r>
        <w:t xml:space="preserve">. Premissas estruturantes: existência de cliente-piloto disponível para validação (ASM-001); operação da plataforma sob responsabilidade da Services.NET (ASM-002); conectividade adequada para o MVP Web (ASM-004); jurisdição inicial exclusivamente brasileira (ASM-005); dados pessoais tratados limitam-se a contexto profissional e de contato (ASM-006, sujeito a validação do DPO).</w:t>
      </w:r>
    </w:p>
    <w:p>
      <w:pPr>
        <w:pStyle w:val="Heading2"/>
      </w:pPr>
      <w:r>
        <w:t xml:space="preserve">19. Restrições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Restrição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Natureza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CON-001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Nenhuma escolha tecnológica é definitiva antes de ADR aprovado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Governança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CON-002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MVP deve ser utilizável via navegador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Produto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CON-003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Arquitetura deve ser API First e multi-tenant desde a concepção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Arquitetura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CON-004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Normas técnicas protegidas por direito autoral não podem ser reproduzidas integralmente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Legal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CON-005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Bases legais da LGPD exigem validação do DPO; interpretação regulatória exige validação jurídica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Legal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CON-006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Microsserviços exigem justificativa objetiva; preferência por Modular Monolith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Arquitetura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CON-007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Identificadores sequenciais não podem ser expostos externamente sem avaliação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Segurança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CON-008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Fases documentais não avançam sem registro de decisões, riscos e critérios de aceite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Processo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CON-009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Equipe, orçamento e prazo ainda não informados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Planejamento (OQ-007)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CON-010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Cada informação possui uma única fonte autoritativa declarada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Documental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CON-011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Regras, periodicidades e parâmetros não podem residir em código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Compliance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CON-012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Agentes de IA não alteram decisão estruturante sem ADR e aprovação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Governança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t xml:space="preserve">20. Dependências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Disponibilidade do cliente-piloto para levantamento da Fase 2 (DEP-004).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Parecer </w:t>
      </w:r>
      <w:r>
        <w:rPr>
          <w:b/>
          <w:bCs/>
        </w:rPr>
        <w:t xml:space="preserve">jurídico/regulatório</w:t>
      </w:r>
      <w:r>
        <w:t xml:space="preserve"> sobre vigência e aplicabilidade normativa (DEP-001).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Parecer do </w:t>
      </w:r>
      <w:r>
        <w:rPr>
          <w:b/>
          <w:bCs/>
        </w:rPr>
        <w:t xml:space="preserve">DPO/Encarregado</w:t>
      </w:r>
      <w:r>
        <w:t xml:space="preserve"> sobre bases legais, retenção e direitos dos titulares (DEP-010).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Parecer de responsável técnico sobre periodicidades e parâmetros (DEP-002).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Aquisição legítima das normas técnicas ABNT aplicáveis, incluindo a ABNT NBR 17037 (DEP-003).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Definição de provedor de nuvem, object storage e provedor de identidade (DEP-006).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Definição do repositório Git e do pipeline de CI/CD (DEP-007).</w:t>
      </w:r>
    </w:p>
    <w:p>
      <w:pPr>
        <w:pStyle w:val="Heading2"/>
      </w:pPr>
      <w:r>
        <w:t xml:space="preserve">21. Riscos iniciais</w:t>
      </w:r>
    </w:p>
    <w:p>
      <w:pPr>
        <w:spacing w:after="120"/>
        <w:jc w:val="both"/>
      </w:pPr>
      <w:r>
        <w:t xml:space="preserve">Registro completo em </w:t>
      </w:r>
      <w:r>
        <w:rPr>
          <w:b/>
          <w:bCs/>
        </w:rPr>
        <w:t xml:space="preserve">XLS-002</w:t>
      </w:r>
      <w:r>
        <w:t xml:space="preserve"> (19 riscos). Os mais relevantes: incerteza quanto à extensão da aplicabilidade da referência técnica de qualidade do ar (RSK-001); vazamento entre tenants (RSK-002); escopo excessivo no MVP (RSK-003); ausência de cliente-piloto engajado (RSK-004); alteração silenciosa de decisões arquiteturais por agentes (RSK-005); perda de fidelidade histórica do PMOC emitido (RSK-019).</w:t>
      </w:r>
    </w:p>
    <w:p>
      <w:pPr>
        <w:pStyle w:val="Heading2"/>
      </w:pPr>
      <w:r>
        <w:t xml:space="preserve">22. Requisitos não funcionais de alto nível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Categoria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Diretriz de alto nível (metas numéricas a definir na Fase 2)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NFR-H-001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Disponibilidade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Serviço contínuo em horário comercial estendido; alvo de SLA a definir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NFR-H-002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Desempenho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Tempo de resposta adequado a uso operacional em campo e escritório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NFR-H-003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Escalabilidade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Crescimento por número de tenants, ativos e evidências sem redesenho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NFR-H-004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Segurança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Secure by Design, least privilege, defense in depth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NFR-H-005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Privacidade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Privacy by Design; minimização e retenção definida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NFR-H-006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Auditabilidade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Trilha de auditoria de negócio íntegra e consultável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NFR-H-007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Observabilidade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Logs estruturados, métricas, tracing e correlation ID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NFR-H-008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Manutenibilidade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Arquitetura modular, baixo acoplamento, alta coesão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NFR-H-009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Interoperabilidade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API versionada e documentada em OpenAPI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NFR-H-010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Portabilidade de dados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Exportação de dados do tenant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NFR-H-011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Continuidade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Backup, restore testado e plano de recuperação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NFR-H-012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Acessibilidade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Alvo de conformidade a definir (OQ-008)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t xml:space="preserve">23. Princípios de segurança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Secure by Design e Privacy by Design desde a modelagem, não como camada posterior.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Least Privilege para usuários, serviços, integrações e agentes.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Defense in Depth: isolamento de tenant verificado em múltiplas camadas.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Autenticação forte, com MFA exigido ao menos para perfis administrativos.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Autorização por RBAC com permissões granulares e verificação server-side obrigatória.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Criptografia em trânsito obrigatória; criptografia em repouso conforme classificação do dado.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Evidências e documentos servidos por acesso controlado e temporário, nunca por URL pública permanente.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Segregação entre logs técnicos e trilha de auditoria de negócio.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Gestão de secrets fora do código-fonte e fora do repositório.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Controle de cadeia de suprimentos: dependências inventariadas e monitoradas.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Rate limiting e proteção contra abuso em toda superfície pública.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Backup, restore e recuperação testados periodicamente, não presumidos.</w:t>
      </w:r>
    </w:p>
    <w:p>
      <w:pPr>
        <w:pStyle w:val="Heading2"/>
      </w:pPr>
      <w:r>
        <w:t xml:space="preserve">24. Princípios regulatórios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Legislação é dado vivo: nunca presumir vigência a partir de documento histórico.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Todo requisito regulatório registrado deve conter norma, órgão, fonte oficial, data da consulta e, quando conhecida, vigência.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Distinguir formalmente </w:t>
      </w:r>
      <w:r>
        <w:rPr>
          <w:b/>
          <w:bCs/>
        </w:rPr>
        <w:t xml:space="preserve">lei</w:t>
      </w:r>
      <w:r>
        <w:t xml:space="preserve">, </w:t>
      </w:r>
      <w:r>
        <w:rPr>
          <w:b/>
          <w:bCs/>
        </w:rPr>
        <w:t xml:space="preserve">regulamento</w:t>
      </w:r>
      <w:r>
        <w:t xml:space="preserve">, </w:t>
      </w:r>
      <w:r>
        <w:rPr>
          <w:b/>
          <w:bCs/>
        </w:rPr>
        <w:t xml:space="preserve">norma técnica</w:t>
      </w:r>
      <w:r>
        <w:t xml:space="preserve">, </w:t>
      </w:r>
      <w:r>
        <w:rPr>
          <w:b/>
          <w:bCs/>
        </w:rPr>
        <w:t xml:space="preserve">recomendação</w:t>
      </w:r>
      <w:r>
        <w:t xml:space="preserve"> e </w:t>
      </w:r>
      <w:r>
        <w:rPr>
          <w:b/>
          <w:bCs/>
        </w:rPr>
        <w:t xml:space="preserve">regra interna do cliente</w:t>
      </w:r>
      <w:r>
        <w:t xml:space="preserve">. Norma técnica não adquire status de lei por conveniência documental.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Normas técnicas protegidas por direito autoral são referenciadas, nunca reproduzidas integralmente.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Regras distintas devem ser modeladas separadamente, ainda que compartilhem um mesmo parâmetro numérico (§5.3).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Capacidade estrutural de registrar parâmetros não autoriza a carga de valores regulatórios não validados.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Incertezas são registradas como questão aberta, não resolvidas por inferência.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Pontos que exigem validação jurídica, do DPO ou de responsável técnico são sinalizados explicitamente e encaminhados à autoridade correta.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Requisitos regulatórios, periodicidades e parâmetros residem em dados versionados, não no código.</w:t>
      </w:r>
    </w:p>
    <w:p>
      <w:pPr>
        <w:pStyle w:val="Heading2"/>
      </w:pPr>
      <w:r>
        <w:t xml:space="preserve">25. Estratégia Multi-Tenant</w:t>
      </w:r>
    </w:p>
    <w:p>
      <w:pPr>
        <w:spacing w:after="120"/>
        <w:jc w:val="both"/>
      </w:pPr>
      <w:r>
        <w:t xml:space="preserve">A plataforma é multi-tenant, sendo o </w:t>
      </w:r>
      <w:r>
        <w:rPr>
          <w:b/>
          <w:bCs/>
        </w:rPr>
        <w:t xml:space="preserve">tenant</w:t>
      </w:r>
      <w:r>
        <w:t xml:space="preserve"> a empresa prestadora de serviços. A hierarquia tenant → clientes da prestadora → unidades → ambientes → sistemas HVAC → equipamentos é o eixo de autorização e de escopo de consulta.</w:t>
      </w:r>
    </w:p>
    <w:p>
      <w:pPr>
        <w:spacing w:after="120"/>
        <w:jc w:val="both"/>
      </w:pPr>
      <w:r>
        <w:rPr>
          <w:b/>
          <w:bCs/>
        </w:rPr>
        <w:t xml:space="preserve">Princípio obrigatório (semântico e de segurança):</w:t>
      </w:r>
      <w:r>
        <w:t xml:space="preserve"> todo recurso de negócio deve possuir </w:t>
      </w:r>
      <w:r>
        <w:rPr>
          <w:b/>
          <w:bCs/>
        </w:rPr>
        <w:t xml:space="preserve">pertencimento inequívoco a um tenant</w:t>
      </w:r>
      <w:r>
        <w:t xml:space="preserve">, e toda operação deve </w:t>
      </w:r>
      <w:r>
        <w:rPr>
          <w:b/>
          <w:bCs/>
        </w:rPr>
        <w:t xml:space="preserve">resolver e autorizar o escopo do tenant no servidor</w:t>
      </w:r>
      <w:r>
        <w:t xml:space="preserve">. Nenhuma operação pode ser executada sem escopo de tenant resolvido e verificado server-side.</w:t>
      </w:r>
    </w:p>
    <w:p>
      <w:pPr>
        <w:spacing w:after="120"/>
        <w:jc w:val="both"/>
      </w:pPr>
      <w:r>
        <w:rPr>
          <w:b/>
          <w:bCs/>
        </w:rPr>
        <w:t xml:space="preserve">O que esta versão deixa de afirmar.</w:t>
      </w:r>
      <w:r>
        <w:t xml:space="preserve"> A versão anterior sugeria que toda entidade seria qualificada por uma coluna </w:t>
      </w:r>
      <w:r>
        <w:rPr>
          <w:rFonts w:ascii="Consolas" w:cs="Consolas" w:eastAsia="Consolas" w:hAnsi="Consolas"/>
          <w:sz w:val="20"/>
          <w:szCs w:val="20"/>
        </w:rPr>
        <w:t xml:space="preserve">TenantId</w:t>
      </w:r>
      <w:r>
        <w:t xml:space="preserve">. Essa era uma prescrição prematura de implementação física e foi </w:t>
      </w:r>
      <w:r>
        <w:rPr>
          <w:b/>
          <w:bCs/>
        </w:rPr>
        <w:t xml:space="preserve">removida</w:t>
      </w:r>
      <w:r>
        <w:t xml:space="preserve">. O mecanismo físico de isolamento é decisão de </w:t>
      </w:r>
      <w:r>
        <w:rPr>
          <w:b/>
          <w:bCs/>
        </w:rPr>
        <w:t xml:space="preserve">ADR-001 — Modelo de isolamento multi-tenant</w:t>
      </w:r>
      <w:r>
        <w:t xml:space="preserve">, que avaliará, entre outras possibilidades: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database per tenant;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schema per tenant;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shared schema com discriminador;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modelo híbrido.</w:t>
      </w:r>
    </w:p>
    <w:p>
      <w:pPr>
        <w:spacing w:after="120"/>
        <w:jc w:val="both"/>
      </w:pPr>
      <w:r>
        <w:t xml:space="preserve">O ADR-001 considerará isolamento, custo operacional, complexidade de migrações, backup/restore por tenant, portabilidade e requisitos de exclusão de dados. Até sua decisão, vale apenas a regra semântica e de segurança acima.</w:t>
      </w:r>
    </w:p>
    <w:p>
      <w:pPr>
        <w:pStyle w:val="Heading2"/>
      </w:pPr>
      <w:r>
        <w:t xml:space="preserve">26. Estratégia Web First / API First</w:t>
      </w:r>
    </w:p>
    <w:p>
      <w:pPr>
        <w:spacing w:after="120"/>
        <w:jc w:val="both"/>
      </w:pPr>
      <w:r>
        <w:t xml:space="preserve">O MVP entrega uma aplicação web. A API, entretanto, é o contrato primário do produto.</w:t>
      </w:r>
    </w:p>
    <w:p>
      <w:pPr>
        <w:spacing w:after="120"/>
        <w:jc w:val="both"/>
      </w:pPr>
      <w:r>
        <w:rPr>
          <w:b/>
          <w:bCs/>
        </w:rPr>
        <w:t xml:space="preserve">Formulação desta versão:</w:t>
      </w:r>
      <w:r>
        <w:t xml:space="preserve"> toda </w:t>
      </w:r>
      <w:r>
        <w:rPr>
          <w:b/>
          <w:bCs/>
        </w:rPr>
        <w:t xml:space="preserve">operação de negócio ou operação server-side</w:t>
      </w:r>
      <w:r>
        <w:t xml:space="preserve"> exposta pela interface deve possuir contrato de API documentado e versionado quando aplicável. Não se exige endpoint artificial para comportamento estritamente local da interface (validação de formulário, navegação, estado visual, formatação).</w:t>
      </w:r>
    </w:p>
    <w:p>
      <w:pPr>
        <w:spacing w:after="120"/>
        <w:jc w:val="both"/>
      </w:pPr>
      <w:r>
        <w:t xml:space="preserve">Consequências obrigatórias: nenhuma regra de negócio exclusiva da camada de apresentação; autorização sempre verificada no servidor; contratos versionados com política explícita de compatibilidade; identificadores estáveis e opacos; operações sensíveis idempotentes, preparando sincronização futura.</w:t>
      </w:r>
    </w:p>
    <w:p>
      <w:pPr>
        <w:pStyle w:val="Heading2"/>
      </w:pPr>
      <w:r>
        <w:t xml:space="preserve">27. Evolução Mobile</w:t>
      </w:r>
    </w:p>
    <w:p>
      <w:pPr>
        <w:spacing w:after="120"/>
        <w:jc w:val="both"/>
      </w:pPr>
      <w:r>
        <w:t xml:space="preserve">Aplicações PWA, Android e iOS, com operação offline e sincronização posterior, são evoluções previstas e </w:t>
      </w:r>
      <w:r>
        <w:rPr>
          <w:b/>
          <w:bCs/>
        </w:rPr>
        <w:t xml:space="preserve">não implementadas no MVP</w:t>
      </w:r>
      <w:r>
        <w:t xml:space="preserve">. A arquitetura deve evitar decisões que as inviabilizem, em particular quanto a: estratégia de identificadores gerados pelo cliente (ADR-002); idempotência de operações de escrita; modelo de resolução de conflitos; upload de evidências resiliente e retomável; contratos de API tolerantes a versões defasadas de cliente.</w:t>
      </w:r>
    </w:p>
    <w:p>
      <w:pPr>
        <w:pStyle w:val="Heading2"/>
      </w:pPr>
      <w:r>
        <w:t xml:space="preserve">28. Critérios para MVP</w:t>
      </w:r>
    </w:p>
    <w:p>
      <w:pPr>
        <w:spacing w:after="120"/>
        <w:jc w:val="both"/>
      </w:pPr>
      <w:r>
        <w:t xml:space="preserve">Um item pertence ao MVP quando satisfaz simultaneamente: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é necessário para que o cliente-piloto execute o ciclo completo cliente da prestadora → ativo → plano → OS → execução → evidência → PMOC/relatório;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sua ausência impediria a operação real ou a comprovação de conformidade;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pode ser entregue com requisitos claros, regras conhecidas e critérios de aceite definidos (Definition of Ready);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não depende de decisão regulatória ou jurídica ainda pendente</w:t>
      </w:r>
      <w:r>
        <w:t xml:space="preserve"> — o que inclui a distinção entre capacidade estrutural (admitida) e conteúdo regulatório concreto (não admitido sem validação);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não exige plataforma adicional (mobile nativo, IoT, IA).</w:t>
      </w:r>
    </w:p>
    <w:p>
      <w:pPr>
        <w:pStyle w:val="Heading2"/>
      </w:pPr>
      <w:r>
        <w:t xml:space="preserve">29. Métricas de sucesso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Métrica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Baseline/Meta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MET-001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Ativos cadastrados e vinculados a plano de manutenção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Adoção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 definir com o piloto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MET-002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OS executadas com registro completo no sistema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Adoção/Qualidade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 definir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MET-003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Percentual de execuções com evidência vinculada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Qualidade probatória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 definir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MET-004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Aderência ao cronograma planejado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Operacional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 definir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MET-005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Tempo de emissão do PMOC atualizado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Eficiência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 definir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MET-006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Não conformidades registradas e tratadas dentro do prazo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Conformidade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 definir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MET-007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Incidentes de segurança ou de vazamento entre tenants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Segurança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Zero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MET-008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Cobertura de requisitos rastreados na RTM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Engenharia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100% dos requisitos aprovados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  <w:jc w:val="both"/>
      </w:pPr>
      <w:r>
        <w:t xml:space="preserve">Metas numéricas não serão arbitradas nesta fase (OQ-005).</w:t>
      </w:r>
    </w:p>
    <w:p>
      <w:pPr>
        <w:pStyle w:val="Heading2"/>
      </w:pPr>
      <w:r>
        <w:t xml:space="preserve">30. Governança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Elemento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Definição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Autoridade de escopo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Product Owner (a designar), com validação do patrocinador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Autoridade arquitetural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Principal Architect da Services.NET, via ADR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Autoridade jurídica/regulatória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Jurídico (STK-007) — vigência, aplicabilidade, contratos, valor probatório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Autoridade de privacidade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DPO/Encarregado (STK-021) — LGPD, bases legais, retenção, direitos dos titulares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Autoridade técnica de domínio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Responsável técnico habilitado — periodicidades, parâmetros e procedimentos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Fonte autoritativa — documentos executivos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>Microsoft 365 (Word, Excel, Power BI) — regra vigente da Fase 1 até decisão formal sobre a transição M365 × Git (DEC-011)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Fonte autoritativa — decisões de implementação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>Repositório Git — histórico versionado desta revisão local e futura representação próxima ao código; autoridade documental definitiva a decidir em DEC-011</w:t>
            </w:r>
            <w:r>
              <w:rPr>
                <w:rFonts w:ascii="Consolas" w:cs="Consolas" w:eastAsia="Consolas" w:hAnsi="Consolas"/>
                <w:sz w:val="20"/>
                <w:szCs w:val="20"/>
              </w:rPr>
            </w:r>
            <w:r/>
            <w:r>
              <w:rPr>
                <w:rFonts w:ascii="Consolas" w:cs="Consolas" w:eastAsia="Consolas" w:hAnsi="Consolas"/>
                <w:sz w:val="20"/>
                <w:szCs w:val="20"/>
              </w:rPr>
            </w:r>
            <w:r/>
            <w:r>
              <w:rPr>
                <w:rFonts w:ascii="Consolas" w:cs="Consolas" w:eastAsia="Consolas" w:hAnsi="Consolas"/>
                <w:sz w:val="20"/>
                <w:szCs w:val="20"/>
              </w:rPr>
            </w:r>
            <w:r/>
            <w:r>
              <w:rPr>
                <w:rFonts w:ascii="Consolas" w:cs="Consolas" w:eastAsia="Consolas" w:hAnsi="Consolas"/>
                <w:sz w:val="20"/>
                <w:szCs w:val="20"/>
              </w:rPr>
            </w:r>
            <w:r/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Documento não autoritativo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Overview_Project.md</w:t>
            </w:r>
            <w:r>
              <w:t xml:space="preserve"> (concepção inicial; prevalecem os artefatos aprovados)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Regra antiduplicidade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>Cada informação possui uma única fonte autoritativa declarada; conflitos M365 × Git devem ser resolvidos por decisão formal, não por alteração silenciosa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Versionamento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Todo artefato possui identificador, versão, data e status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Cadência de revisão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Revisão formal ao fim de cada fase, antes do avanço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t xml:space="preserve">31. Processo de decisão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Decisões </w:t>
      </w:r>
      <w:r>
        <w:rPr>
          <w:b/>
          <w:bCs/>
        </w:rPr>
        <w:t xml:space="preserve">funcionais e de produto</w:t>
      </w:r>
      <w:r>
        <w:t xml:space="preserve"> são registradas no </w:t>
      </w:r>
      <w:r>
        <w:rPr>
          <w:b/>
          <w:bCs/>
        </w:rPr>
        <w:t xml:space="preserve">Decision Log (XLS-004)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Decisões </w:t>
      </w:r>
      <w:r>
        <w:rPr>
          <w:b/>
          <w:bCs/>
        </w:rPr>
        <w:t xml:space="preserve">estruturantes de arquitetura</w:t>
      </w:r>
      <w:r>
        <w:t xml:space="preserve"> exigem </w:t>
      </w:r>
      <w:r>
        <w:rPr>
          <w:b/>
          <w:bCs/>
        </w:rPr>
        <w:t xml:space="preserve">ADR</w:t>
      </w:r>
      <w:r>
        <w:t xml:space="preserve"> com contexto, alternativas, decisão, consequências e status.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Questões sem resposta são registradas em </w:t>
      </w:r>
      <w:r>
        <w:rPr>
          <w:b/>
          <w:bCs/>
        </w:rPr>
        <w:t xml:space="preserve">Open Questions (XLS-003)</w:t>
      </w:r>
      <w:r>
        <w:t xml:space="preserve"> com responsável e impacto.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Hipóteses assumidas são registradas em </w:t>
      </w:r>
      <w:r>
        <w:rPr>
          <w:b/>
          <w:bCs/>
        </w:rPr>
        <w:t xml:space="preserve">XLS-001</w:t>
      </w:r>
      <w:r>
        <w:t xml:space="preserve"> e nunca tratadas como requisito confirmado.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Nenhum agente de desenvolvimento altera decisão estruturante sem identificar a decisão vigente, justificar, criar ou atualizar o ADR, avaliar impacto e obter aprovação.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>Aceitação de auditoria não equivale a aprovação de decisão. A aceitação da auditoria da Fase 1 pela Services.NET não altera o status das decisões DEC-001 a DEC-011, que permanecem como Proposta.</w:t>
      </w:r>
      <w:r/>
      <w:r>
        <w:rPr>
          <w:rFonts w:ascii="Consolas" w:cs="Consolas" w:eastAsia="Consolas" w:hAnsi="Consolas"/>
          <w:sz w:val="20"/>
          <w:szCs w:val="20"/>
        </w:rPr>
      </w:r>
      <w:r/>
    </w:p>
    <w:p>
      <w:pPr>
        <w:pStyle w:val="ListParagraph"/>
        <w:numPr>
          <w:ilvl w:val="0"/>
          <w:numId w:val="3"/>
        </w:numPr>
        <w:spacing w:after="40"/>
      </w:pPr>
      <w:r>
        <w:t xml:space="preserve">Mudança de escopo após aprovação do Charter segue registro formal de impacto em prazo, risco e dependências.</w:t>
      </w:r>
    </w:p>
    <w:p>
      <w:pPr>
        <w:pStyle w:val="Heading2"/>
      </w:pPr>
      <w:r>
        <w:t xml:space="preserve">32. Próximos passos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Segunda revisão formal deste pacote (v0.2) pela Services.NET.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Designação de patrocinador, Product Owner, autoridade jurídica e DPO.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Confirmação do cliente-piloto e agendamento do levantamento da Fase 2.</w:t>
      </w:r>
    </w:p>
    <w:p>
      <w:pPr>
        <w:pStyle w:val="ListParagraph"/>
        <w:numPr>
          <w:ilvl w:val="0"/>
          <w:numId w:val="3"/>
        </w:numPr>
        <w:spacing w:after="40"/>
      </w:pPr>
      <w:r>
        <w:t>Solicitação de parecer jurídico sobre a extensão da aplicabilidade da ABNT NBR 17037, eventual alteração/revogação/consolidação da Portaria GM/MS nº 3.523/1998 e exigências locais, setoriais ou contratuais relacionadas à Regra A / Regra B.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Solicitação de parecer do DPO sobre bases legais, retenção e direitos dos titulares.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Solicitação de parecer de responsável técnico sobre periodicidades e parâmetros.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Aquisição legítima da ABNT NBR 17037 e demais normas aplicáveis.</w:t>
      </w:r>
    </w:p>
    <w:p>
      <w:pPr>
        <w:pStyle w:val="ListParagraph"/>
        <w:numPr>
          <w:ilvl w:val="0"/>
          <w:numId w:val="3"/>
        </w:numPr>
        <w:spacing w:after="40"/>
      </w:pPr>
      <w:r>
        <w:t>Deliberação formal sobre a governança documental Microsoft 365 × Git (DEC-011).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Fechamento das questões abertas bloqueantes.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Aprovação formal para início da Fase 2 — </w:t>
      </w:r>
      <w:r>
        <w:rPr>
          <w:b/>
          <w:bCs/>
        </w:rPr>
        <w:t xml:space="preserve">que não foi iniciada</w:t>
      </w:r>
      <w:r>
        <w:t xml:space="preserve">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Services.NET — DOC-001 v0.2 DRAFT  |  Página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08080"/>
        <w:sz w:val="16"/>
        <w:szCs w:val="16"/>
      </w:rPr>
      <w:t xml:space="preserve">PMOC Software | Fase 1 | v0.2 DRAFT | Services.NET Phase 1 Audit — Approved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Arial" w:cs="Arial" w:eastAsia="Arial" w:hAnsi="Arial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2E549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Arial" w:cs="Arial" w:eastAsia="Arial" w:hAnsi="Arial"/>
      <w:b/>
      <w:bCs/>
      <w:color w:val="404040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MACIEL LIMA DE JESUS, ALAN</dc:creator>
  <lastModifiedBy>MACIEL LIMA DE JESUS, ALAN</lastModifiedBy>
  <revision>1</revision>
  <dcterms:created xsi:type="dcterms:W3CDTF">2026-09-22T20:35:29.5483891Z</dcterms:created>
  <dcterms:modified xsi:type="dcterms:W3CDTF">2026-09-22T20:35:29.5483891Z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/>
</file>