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DOC-008 — Product Roadmap (visão macro)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DOC-008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0.2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Services.NET Phase 1 Audit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Aguardando segunda revisão formal da 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Natureza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Roadmap </w:t>
            </w:r>
            <w:r>
              <w:rPr>
                <w:b/>
                <w:bCs/>
              </w:rPr>
              <w:t xml:space="preserve">por ondas de valor, sem datas</w:t>
            </w:r>
            <w:r>
              <w:t xml:space="preserve">. Datas dependem de equipe, orçamento e prazo ainda não informados (OQ-007)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>Alterações nesta versão: ADR-008 reposicionado como pré-requisito de W1 para as partes do sistema que dependem do modelo de Compliance as Data; W4 passa a depender explicitamente de validação jurídica sobre a extensão da ABNT NBR 17037, a confirmação jurídica formal da Portaria GM/MS nº 3.523/1998 e eventuais normas locais, setoriais ou contratuais; W1 recebe o princípio PP-13 como item de arquitetura a resolver nas Fases 3/6.</w:t>
      </w:r>
      <w:r/>
    </w:p>
    <w:p>
      <w:pPr>
        <w:pStyle w:val="Heading2"/>
      </w:pPr>
      <w:r>
        <w:t xml:space="preserve">1. Princípio do roadmap</w:t>
      </w:r>
    </w:p>
    <w:p>
      <w:pPr>
        <w:spacing w:after="120"/>
        <w:jc w:val="both"/>
      </w:pPr>
      <w:r>
        <w:t xml:space="preserve">O roadmap é orientado a </w:t>
      </w:r>
      <w:r>
        <w:rPr>
          <w:b/>
          <w:bCs/>
        </w:rPr>
        <w:t xml:space="preserve">resultados e maturidade</w:t>
      </w:r>
      <w:r>
        <w:t xml:space="preserve">, não a calendário. Cada onda possui objetivo, critério de entrada e critério de saída. Nenhuma onda inicia sem que a anterior tenha seus critérios de saída verificados.</w:t>
      </w:r>
    </w:p>
    <w:p>
      <w:pPr>
        <w:pStyle w:val="Heading2"/>
      </w:pPr>
      <w:r>
        <w:t xml:space="preserve">2. Visão macro das ondas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Onda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Objetivo central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Concepção e Arquitetura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Documentação das Fases 1 a 10 e ADRs estruturantes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Em curso (Fase 1 — v0.2 em revisão)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MVP Web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Ciclo operacional completo e raso, com auditoria e PMOC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Consolidação Operacional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Indicadores, produtividade, qualidade de dados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Mobilidade e Campo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PWA, offline, QR Code, captura assistida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Conformidade Ampliada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Cobertura regulatória e avaliação automática de conformidade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Ecossistema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Portal do cliente final, integrações, webhooks, exportação BI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Inteligência Operacional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Telemetria, analytics, preditivo, recursos assistidos por 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Direcional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 Detalhamento das ondas</w:t>
      </w:r>
    </w:p>
    <w:p>
      <w:pPr>
        <w:pStyle w:val="Heading3"/>
      </w:pPr>
      <w:r>
        <w:t xml:space="preserve">W0 — Concepção e Arquitetura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produzir a base documental que permite implementação por engenheiros humanos e agentes.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Fases 1 a 10 do Master Specification; ADRs estruturantes (ver §5).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artefatos aprovados; ADRs estruturantes decididos; Definition of Ready aplicável ao backlog inicial.</w:t>
      </w:r>
    </w:p>
    <w:p>
      <w:pPr>
        <w:pStyle w:val="Heading3"/>
      </w:pPr>
      <w:r>
        <w:t xml:space="preserve">W1 — MVP Web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operar o ciclo real do cliente-piloto pelo navegador.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as 50 capacidades listadas em DOC-007 §3, com a ressalva de conformidade do DOC-007 §3.1.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W0 aprovado; </w:t>
      </w:r>
      <w:r>
        <w:rPr>
          <w:b/>
          <w:bCs/>
        </w:rPr>
        <w:t xml:space="preserve">ADR-001, ADR-002 e ADR-008 decididos</w:t>
      </w:r>
      <w:r>
        <w:t xml:space="preserve"> (ADR-008 é pré-requisito das partes do sistema que dependem do modelo de Compliance as Data — CAP-030 a CAP-034 e CAP-037); cliente-piloto confirmado; mecanismo de preservação do estado de referência do PMOC (PP-13) resolvido nas Fases 3 e 6.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AC-MVP-01 a AC-MVP-11 verificados; piloto em operação real.</w:t>
      </w:r>
    </w:p>
    <w:p>
      <w:pPr>
        <w:pStyle w:val="Heading3"/>
      </w:pPr>
      <w:r>
        <w:t xml:space="preserve">W2 — Consolidação Operacional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transformar dado operacional em gestão.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CAP-083, CAP-064, CAP-023, CAP-025, CAP-102, CAP-093, CAP-094, CAP-075.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volume de dados suficiente do piloto.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indicadores usados na rotina de gestão do tenant.</w:t>
      </w:r>
    </w:p>
    <w:p>
      <w:pPr>
        <w:pStyle w:val="Heading3"/>
      </w:pPr>
      <w:r>
        <w:t xml:space="preserve">W3 — Mobilidade e Campo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capturar o dado na origem, mesmo sem conectividade.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PWA; execução offline com sincronização (CAP-056); QR Code (CAP-026, CAP-057); avaliação de CAP-054 e CAP-058 conforme parecer jurídico (STK-007) e do DPO (STK-021).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contratos idempotentes, identificadores cliente-geradores e resolução de conflito definidos em ADR-002.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execução completa de OS offline com sincronização sem perda ou duplicidade.</w:t>
      </w:r>
    </w:p>
    <w:p>
      <w:pPr>
        <w:pStyle w:val="Heading3"/>
      </w:pPr>
      <w:r>
        <w:t xml:space="preserve">W4 — Conformidade Ampliada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ampliar a cobertura de Compliance as Data e automatizar verificação.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CAP-035 com as regras A e B modeladas separadamente (DOC-001 §5.3); CAP-038; CAP-095; carga de conteúdo regulatório validado.</w:t>
      </w:r>
    </w:p>
    <w:p>
      <w:pPr>
        <w:spacing w:after="120"/>
        <w:jc w:val="both"/>
      </w:pPr>
      <w:r>
        <w:rPr>
          <w:b/>
          <w:bCs/>
        </w:rPr>
        <w:t>Critério de entrada: parecer jurídico sobre a extensão da aplicabilidade da ABNT NBR 17037 (OQ-004), eventual alteração/revogação/consolidação da Portaria GM/MS nº 3.523/1998 (OQ-012) e normas estaduais, municipais, setoriais, contratuais ou situações de uso restrito que afetem a Regra A / Regra B (OQ-021); normas adquiridas legitimamente (DEP-003); parecer de responsável técnico (DEP-002).</w:t>
      </w:r>
      <w:r/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mudança normativa absorvida por dado versionado, sem alteração de código.</w:t>
      </w:r>
    </w:p>
    <w:p>
      <w:pPr>
        <w:pStyle w:val="Heading3"/>
      </w:pPr>
      <w:r>
        <w:t xml:space="preserve">W5 — Ecossistema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abrir a plataforma para clientes finais e sistemas terceiros.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CAP-008, CAP-074, CAP-103, CAP-085, CAP-105, CAP-007.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API estável, versionada e com política de compatibilidade em vigor.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ao menos uma integração externa em produção.</w:t>
      </w:r>
    </w:p>
    <w:p>
      <w:pPr>
        <w:pStyle w:val="Heading3"/>
      </w:pPr>
      <w:r>
        <w:t xml:space="preserve">W6 — Inteligência Operacional</w:t>
      </w:r>
    </w:p>
    <w:p>
      <w:pPr>
        <w:spacing w:after="120"/>
        <w:jc w:val="both"/>
      </w:pPr>
      <w:r>
        <w:rPr>
          <w:b/>
          <w:bCs/>
        </w:rPr>
        <w:t xml:space="preserve">Objetivo:</w:t>
      </w:r>
      <w:r>
        <w:t xml:space="preserve"> antecipar falha e otimizar operação.</w:t>
      </w:r>
    </w:p>
    <w:p>
      <w:pPr>
        <w:spacing w:after="120"/>
        <w:jc w:val="both"/>
      </w:pPr>
      <w:r>
        <w:rPr>
          <w:b/>
          <w:bCs/>
        </w:rPr>
        <w:t xml:space="preserve">Conteúdo:</w:t>
      </w:r>
      <w:r>
        <w:t xml:space="preserve"> CAP-106, CAP-086, analytics, automações e recursos assistidos por IA.</w:t>
      </w:r>
    </w:p>
    <w:p>
      <w:pPr>
        <w:spacing w:after="120"/>
        <w:jc w:val="both"/>
      </w:pPr>
      <w:r>
        <w:rPr>
          <w:b/>
          <w:bCs/>
        </w:rPr>
        <w:t xml:space="preserve">Critério de entrada:</w:t>
      </w:r>
      <w:r>
        <w:t xml:space="preserve"> massa de dados histórica representativa e qualidade de dados comprovada.</w:t>
      </w:r>
    </w:p>
    <w:p>
      <w:pPr>
        <w:spacing w:after="120"/>
        <w:jc w:val="both"/>
      </w:pPr>
      <w:r>
        <w:rPr>
          <w:b/>
          <w:bCs/>
        </w:rPr>
        <w:t xml:space="preserve">Critério de saída:</w:t>
      </w:r>
      <w:r>
        <w:t xml:space="preserve"> a definir.</w:t>
      </w:r>
    </w:p>
    <w:p>
      <w:pPr>
        <w:pStyle w:val="Heading2"/>
      </w:pPr>
      <w:r>
        <w:t xml:space="preserve">4. Dependências entre ondas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Dependência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 → W0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Nenhum código antes de ADRs estruturantes decididos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 → ADR-008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Partes dependentes do modelo de Compliance as Data não iniciam antes da decisão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W3 → W1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Offline exige modelo de dados e API estáveis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W4 → externo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Depende de validação jurídica, do responsável técnico e de aquisição das normas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W5 → W1/W2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Exposição externa exige contrato estável e dados confiáveis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W6 → W2/W3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Preditivo exige histórico capturado na origem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 Sequenciamento dos ADRs estruturantes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Assunto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 prevista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Pré-requisito de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de isolamento multi-tenant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Todo W1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Estratégia de identificadores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 e W3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Stack de back-end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Stack de front-end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W1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Armazenamento de evidências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5/6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CAP-070 a CAP-073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de auditoria de negócio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CAP-090 a CAP-092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ADR-007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Versionamento de API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CAP-100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ADR-008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Modelo de dados de Compliance as Data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Fase 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CAP-030 a CAP-035, CAP-037, CAP-038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t xml:space="preserve">Nenhum ADR foi decidido nesta fase. O conteúdo do ADR-008 </w:t>
      </w:r>
      <w:r>
        <w:rPr>
          <w:b/>
          <w:bCs/>
        </w:rPr>
        <w:t xml:space="preserve">não</w:t>
      </w:r>
      <w:r>
        <w:t xml:space="preserve"> é antecipado aqui; apenas sua posição na sequência de dependências.</w:t>
      </w:r>
    </w:p>
    <w:p>
      <w:pPr>
        <w:pStyle w:val="Heading2"/>
      </w:pPr>
      <w:r>
        <w:t xml:space="preserve">6. Marcos de governança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M1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 aprovada (após segunda revisão formal)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 e Product Owner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M2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ADRs estruturantes decididos, incluindo ADR-008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Principal Architect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M3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Definition of Ready atingida para o backlog do 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Product Owner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M4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Go-live do piloto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Patrocinador, PO, Segurança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M5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Encerramento formal do 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 e PO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M6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Decisão de comercialização e nome do produto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Patrocinador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7. Itens deliberadamente não agendados</w:t>
      </w:r>
    </w:p>
    <w:p>
      <w:pPr>
        <w:spacing w:after="120"/>
        <w:jc w:val="both"/>
      </w:pPr>
      <w:r>
        <w:t xml:space="preserve">Nome comercial definitivo; modelo de precificação; expansão para outros domínios regulatórios; internacionalização; certificações formais de segurança; estimativas de prazo e custo. Todos permanecem em aberto até decisão do patrocinador e disponibilidade de dados.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DOC-008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2026-09-22T20:35:40.2605725Z</dcterms:created>
  <dcterms:modified xsi:type="dcterms:W3CDTF">2026-09-22T20:35:40.2605725Z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