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DOC-001 — PMOC Software — Product Charter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Campo</w:t>
            </w:r>
          </w:p>
        </w:tc>
        <w:tc>
          <w:tcPr>
            <w:tcW w:type="dxa" w:w="46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Valor</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Identificador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DOC-001</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Documento</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PMOC Software — Product Charter</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Projeto de engenharia</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PMOC Software</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Versão</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0.1 (DRAFT)</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Data</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22/09/2026</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Fase</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Fase 1 — Product Charter e Escopo</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Organização responsável</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Services.NET</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Autor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Opus (agente de análise, arquitetura e documentação)</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Status</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Aguardando revisão formal da Services.NET</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Documento pai</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PMOC Software — Product &amp; Engineering Master Specification</w:t>
            </w:r>
          </w:p>
        </w:tc>
      </w:tr>
    </w:tbl>
    <w:p>
      <w:pPr>
        <w:spacing w:after="120"/>
      </w:pPr>
      <w:r>
        <w:t xml:space="preserve"/>
      </w:r>
    </w:p>
    <w:p>
      <w:pPr>
        <w:spacing w:after="120"/>
        <w:jc w:val="both"/>
      </w:pPr>
      <w:r>
        <w:rPr>
          <w:b/>
          <w:bCs/>
        </w:rPr>
        <w:t xml:space="preserve">Aviso de natureza do documento.</w:t>
      </w:r>
      <w:r>
        <w:t xml:space="preserve"> Este Charter consolida a intenção de produto conhecida nesta data. Itens não confirmados pela Services.NET ou pelo cliente-piloto estão registrados explicitamente como </w:t>
      </w:r>
      <w:r>
        <w:rPr>
          <w:b/>
          <w:bCs/>
        </w:rPr>
        <w:t xml:space="preserve">hipótese (ASM-###)</w:t>
      </w:r>
      <w:r>
        <w:t xml:space="preserve"> ou </w:t>
      </w:r>
      <w:r>
        <w:rPr>
          <w:b/>
          <w:bCs/>
        </w:rPr>
        <w:t xml:space="preserve">questão aberta (OQ-###)</w:t>
      </w:r>
      <w:r>
        <w:t xml:space="preserve"> e não constituem requisito aprovado.</w:t>
      </w:r>
    </w:p>
    <w:p>
      <w:pPr>
        <w:pStyle w:val="Heading2"/>
      </w:pPr>
      <w:r>
        <w:t xml:space="preserve">1. Identificação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Item</w:t>
            </w:r>
          </w:p>
        </w:tc>
        <w:tc>
          <w:tcPr>
            <w:tcW w:type="dxa" w:w="46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Conteúdo</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Nome do projeto de engenharia</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PMOC Software</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Nome comercial do produto</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rPr>
                <w:b/>
                <w:bCs/>
              </w:rPr>
              <w:t xml:space="preserve">Não definido.</w:t>
            </w:r>
            <w:r>
              <w:t xml:space="preserve"> Não será arbitrado nesta fase (ver OQ-001)</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Descrição conceitual</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Plataforma de Gestão de Manutenção, Ativos e Conformidade para Sistemas de Climatização</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Domínio regulatório inicial</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PMOC — Plano de Manutenção, Operação e Controle (Brasil)</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Modelo de entrega</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SaaS multi-tenant, Web First, API First</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Fase atual</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Concepção — Fase 1 de 10</w:t>
            </w:r>
          </w:p>
        </w:tc>
      </w:tr>
    </w:tbl>
    <w:p>
      <w:pPr>
        <w:spacing w:after="120"/>
      </w:pPr>
      <w:r>
        <w:t xml:space="preserve"/>
      </w:r>
    </w:p>
    <w:p>
      <w:pPr>
        <w:pStyle w:val="Heading2"/>
      </w:pPr>
      <w:r>
        <w:t xml:space="preserve">2. Patrocinador</w:t>
      </w:r>
    </w:p>
    <w:p>
      <w:pPr>
        <w:spacing w:after="120"/>
        <w:jc w:val="both"/>
      </w:pPr>
      <w:r>
        <w:t xml:space="preserve">O patrocínio executivo do projeto é atribuído à Services.NET. A pessoa física ou papel formal que exerce o patrocínio (</w:t>
      </w:r>
      <w:r>
        <w:rPr>
          <w:b/>
          <w:bCs/>
        </w:rPr>
        <w:t xml:space="preserve">Sponsor</w:t>
      </w:r>
      <w:r>
        <w:t xml:space="preserve">), com autoridade sobre orçamento, priorização e aprovação de marcos, </w:t>
      </w:r>
      <w:r>
        <w:rPr>
          <w:b/>
          <w:bCs/>
        </w:rPr>
        <w:t xml:space="preserve">ainda não foi informado</w:t>
      </w:r>
      <w:r>
        <w:t xml:space="preserve"> e deve ser preenchido antes do encerramento da Fase 1 (OQ-002).</w:t>
      </w:r>
    </w:p>
    <w:p>
      <w:pPr>
        <w:pStyle w:val="Heading2"/>
      </w:pPr>
      <w:r>
        <w:t xml:space="preserve">3. Proprietário do produto</w:t>
      </w:r>
    </w:p>
    <w:p>
      <w:pPr>
        <w:spacing w:after="120"/>
        <w:jc w:val="both"/>
      </w:pPr>
      <w:r>
        <w:t xml:space="preserve">O papel de </w:t>
      </w:r>
      <w:r>
        <w:rPr>
          <w:b/>
          <w:bCs/>
        </w:rPr>
        <w:t xml:space="preserve">Product Owner</w:t>
      </w:r>
      <w:r>
        <w:t xml:space="preserve"> — responsável por priorização de backlog, aceite funcional e decisão de escopo — </w:t>
      </w:r>
      <w:r>
        <w:rPr>
          <w:b/>
          <w:bCs/>
        </w:rPr>
        <w:t xml:space="preserve">ainda não foi designado</w:t>
      </w:r>
      <w:r>
        <w:t xml:space="preserve"> (OQ-003). Enquanto não designado, decisões de escopo permanecem pendentes e são registradas no Decision Log (XLS-004) com status </w:t>
      </w:r>
      <w:r>
        <w:rPr>
          <w:rFonts w:ascii="Consolas" w:cs="Consolas" w:eastAsia="Consolas" w:hAnsi="Consolas"/>
          <w:sz w:val="20"/>
          <w:szCs w:val="20"/>
        </w:rPr>
        <w:t xml:space="preserve">Pendente</w:t>
      </w:r>
      <w:r>
        <w:t xml:space="preserve">.</w:t>
      </w:r>
    </w:p>
    <w:p>
      <w:pPr>
        <w:pStyle w:val="Heading2"/>
      </w:pPr>
      <w:r>
        <w:t xml:space="preserve">4. Organização responsável</w:t>
      </w:r>
    </w:p>
    <w:p>
      <w:pPr>
        <w:spacing w:after="120"/>
        <w:jc w:val="both"/>
      </w:pPr>
      <w:r>
        <w:t xml:space="preserve">A </w:t>
      </w:r>
      <w:r>
        <w:rPr>
          <w:b/>
          <w:bCs/>
        </w:rPr>
        <w:t xml:space="preserve">Services.NET</w:t>
      </w:r>
      <w:r>
        <w:t xml:space="preserve"> atua no desenvolvimento, implantação, gerenciamento e modernização de soluções de tecnologia. Neste projeto, a Services.NET é simultaneamente:</w:t>
      </w:r>
    </w:p>
    <w:p>
      <w:pPr>
        <w:pStyle w:val="ListParagraph"/>
        <w:numPr>
          <w:ilvl w:val="0"/>
          <w:numId w:val="2"/>
        </w:numPr>
        <w:spacing w:after="40"/>
      </w:pPr>
      <w:r>
        <w:t xml:space="preserve">fornecedora da engenharia de software;</w:t>
      </w:r>
    </w:p>
    <w:p>
      <w:pPr>
        <w:pStyle w:val="ListParagraph"/>
        <w:numPr>
          <w:ilvl w:val="0"/>
          <w:numId w:val="2"/>
        </w:numPr>
        <w:spacing w:after="40"/>
      </w:pPr>
      <w:r>
        <w:t xml:space="preserve">operadora da plataforma SaaS (hipótese ASM-002, a confirmar quanto a responsabilidade de operação e SLA);</w:t>
      </w:r>
    </w:p>
    <w:p>
      <w:pPr>
        <w:pStyle w:val="ListParagraph"/>
        <w:numPr>
          <w:ilvl w:val="0"/>
          <w:numId w:val="2"/>
        </w:numPr>
        <w:spacing w:after="40"/>
      </w:pPr>
      <w:r>
        <w:t xml:space="preserve">responsável pela governança técnica, pelas decisões arquiteturais (ADRs) e pela documentação.</w:t>
      </w:r>
    </w:p>
    <w:p>
      <w:pPr>
        <w:pStyle w:val="Heading2"/>
      </w:pPr>
      <w:r>
        <w:t xml:space="preserve">5. Contexto</w:t>
      </w:r>
    </w:p>
    <w:p>
      <w:pPr>
        <w:spacing w:after="120"/>
        <w:jc w:val="both"/>
      </w:pPr>
      <w:r>
        <w:t xml:space="preserve">Empresas prestadoras de serviços de climatização, refrigeração e manutenção de sistemas HVAC operam um ciclo que vai da carteira de clientes até a comprovação documental de conformidade. Esse ciclo envolve clientes, unidades, ambientes, sistemas, equipamentos, componentes, planos de manutenção, cronogramas, ordens de serviço, execução em campo, checklists, medições, evidências, não conformidades, ações corretivas, histórico, indicadores, relatórios e auditoria.</w:t>
      </w:r>
    </w:p>
    <w:p>
      <w:pPr>
        <w:spacing w:after="120"/>
        <w:jc w:val="both"/>
      </w:pPr>
      <w:r>
        <w:t xml:space="preserve">Grande parte desse ciclo é hoje conduzida, no mercado-alvo típico, com planilhas, documentos avulsos, mensageria informal e arquivos de fotos sem vínculo estruturado com o ativo ou com a obrigação legal correspondente (ASM-003 — caracterização do cenário atual ainda não validada por pesquisa formal com o cliente-piloto).</w:t>
      </w:r>
    </w:p>
    <w:p>
      <w:pPr>
        <w:spacing w:after="120"/>
        <w:jc w:val="both"/>
      </w:pPr>
      <w:r>
        <w:t xml:space="preserve">O domínio possui um componente regulatório relevante e </w:t>
      </w:r>
      <w:r>
        <w:rPr>
          <w:b/>
          <w:bCs/>
        </w:rPr>
        <w:t xml:space="preserve">mutável</w:t>
      </w:r>
      <w:r>
        <w:t xml:space="preserve">. Em consulta realizada em </w:t>
      </w:r>
      <w:r>
        <w:rPr>
          <w:b/>
          <w:bCs/>
        </w:rPr>
        <w:t xml:space="preserve">22/09/2026</w:t>
      </w:r>
      <w:r>
        <w:t xml:space="preserve">, o levantamento preliminar indicou: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Norma</w:t>
            </w:r>
          </w:p>
        </w:tc>
        <w:tc>
          <w:tcPr>
            <w:tcW w:type="dxa" w:w="1872"/>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Órgão</w:t>
            </w:r>
          </w:p>
        </w:tc>
        <w:tc>
          <w:tcPr>
            <w:tcW w:type="dxa" w:w="1872"/>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Natureza</w:t>
            </w:r>
          </w:p>
        </w:tc>
        <w:tc>
          <w:tcPr>
            <w:tcW w:type="dxa" w:w="1872"/>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Situação observada na consulta</w:t>
            </w:r>
          </w:p>
        </w:tc>
        <w:tc>
          <w:tcPr>
            <w:tcW w:type="dxa" w:w="1872"/>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Fonte</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Lei nº 13.589/2018</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Congresso Nacional / Presidência</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Lei federal</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Texto publicado; exige PMOC para edifícios de uso público e coletivo com ambientes climatizados artificialmente</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Planalto</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Portaria GM/MS nº 3.523/1998</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Ministério da Saúde</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Regulamento técnico</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Referenciada como base dos procedimentos de manutenção; </w:t>
            </w:r>
            <w:r>
              <w:rPr>
                <w:b/>
                <w:bCs/>
              </w:rPr>
              <w:t xml:space="preserve">situação de vigência a confirmar no sistema Saúde Legis</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Ministério da Saúde</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RE/ANVISA nº 9/2003</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ANVISA</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Resolução</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rPr>
                <w:b/>
                <w:bCs/>
              </w:rPr>
              <w:t xml:space="preserve">Revogada</w:t>
            </w:r>
            <w:r>
              <w:t xml:space="preserve"> — registrada como revogada pela RDC nº 886, de 10/07/2024, no repositório normativo da ANVISA</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ANVISA (datalegis)</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RDC/ANVISA nº 886/2024</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ANVISA</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Resolução</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Instrumento de revogação expressa do ciclo 2023–2024 de consolidação normativa</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ANVISA (datalegis)</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ABNT NBR (família qualidade do ar / manutenção HVAC)</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ABNT</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Norma técnica (protegida por direito autoral)</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Referência técnica citada pela Lei 13.589/2018; </w:t>
            </w:r>
            <w:r>
              <w:rPr>
                <w:b/>
                <w:bCs/>
              </w:rPr>
              <w:t xml:space="preserve">conteúdo não reproduzível</w:t>
            </w:r>
            <w:r>
              <w:t xml:space="preserve">; edição aplicável a confirmar</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ABNT</w:t>
            </w:r>
          </w:p>
        </w:tc>
      </w:tr>
    </w:tbl>
    <w:p>
      <w:pPr>
        <w:spacing w:after="120"/>
      </w:pPr>
      <w:r>
        <w:t xml:space="preserve"/>
      </w:r>
    </w:p>
    <w:p>
      <w:pPr>
        <w:spacing w:after="120"/>
        <w:jc w:val="both"/>
      </w:pPr>
      <w:r>
        <w:t xml:space="preserve">Observação crítica: a Lei nº 13.589/2018 remete parâmetros de qualidade do ar à RE/ANVISA nº 9/2003 "e posteriores alterações". Como a RE nº 9/2003 consta revogada, existe uma </w:t>
      </w:r>
      <w:r>
        <w:rPr>
          <w:b/>
          <w:bCs/>
        </w:rPr>
        <w:t xml:space="preserve">questão jurídica aberta (OQ-004)</w:t>
      </w:r>
      <w:r>
        <w:t xml:space="preserve"> sobre qual referencial técnico é hoje exigível e como isso se reflete em parâmetros de medição no produto. Este ponto </w:t>
      </w:r>
      <w:r>
        <w:rPr>
          <w:b/>
          <w:bCs/>
        </w:rPr>
        <w:t xml:space="preserve">exige validação jurídica e de responsável técnico</w:t>
      </w:r>
      <w:r>
        <w:t xml:space="preserve"> e não será decidido pela engenharia.</w:t>
      </w:r>
    </w:p>
    <w:p>
      <w:pPr>
        <w:pStyle w:val="Heading2"/>
      </w:pPr>
      <w:r>
        <w:t xml:space="preserve">6.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ID</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Problema observado</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Consequência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PRB-001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Inventário de ativos de climatização disperso e desatualizado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Impossibilidade de planejar manutenção com base em realidade física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PRB-002</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Planos e cronogramas mantidos fora de um sistema de registro único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Perda de periodicidade, atrasos e retrabalho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PRB-003</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Execução de campo registrada em papel, mensageria ou memória</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Baixa confiabilidade do histórico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PRB-004</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Evidências (fotos, medições, assinaturas) desvinculadas do ativo e da obrigação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Dificuldade de comprovação perante fiscalização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PRB-005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Regras regulatórias embutidas em documentos estáticos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Defasagem silenciosa quando a norma muda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PRB-006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Ausência de indicadores operacionais confiáveis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Gestão reativa; margem e produtividade desconhecidas</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PRB-007</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Rastreabilidade insuficiente de quem fez o quê, quando e com qual resultado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Risco jurídico, sanitário e contratual</w:t>
            </w:r>
          </w:p>
        </w:tc>
      </w:tr>
    </w:tbl>
    <w:p>
      <w:pPr>
        <w:spacing w:after="120"/>
      </w:pPr>
      <w:r>
        <w:t xml:space="preserve"/>
      </w:r>
    </w:p>
    <w:p>
      <w:pPr>
        <w:pStyle w:val="Heading2"/>
      </w:pPr>
      <w:r>
        <w:t xml:space="preserve">7. Oportunidade</w:t>
      </w:r>
    </w:p>
    <w:p>
      <w:pPr>
        <w:spacing w:after="120"/>
        <w:jc w:val="both"/>
      </w:pPr>
      <w:r>
        <w:t xml:space="preserve">Consolidar, em uma plataforma única, o ciclo operacional e probatório da prestadora de serviços de climatização, transformando a conformidade regulatória de um esforço documental episódico em um </w:t>
      </w:r>
      <w:r>
        <w:rPr>
          <w:b/>
          <w:bCs/>
        </w:rPr>
        <w:t xml:space="preserve">subproduto natural da operação diária registrada</w:t>
      </w:r>
      <w:r>
        <w:t xml:space="preserve">. A oportunidade adicional é arquitetural: tratar regras regulatórias como </w:t>
      </w:r>
      <w:r>
        <w:rPr>
          <w:b/>
          <w:bCs/>
        </w:rPr>
        <w:t xml:space="preserve">dado versionado</w:t>
      </w:r>
      <w:r>
        <w:t xml:space="preserve"> permite atender novos domínios regulatórios e novos segmentos sem reconstrução do sistema.</w:t>
      </w:r>
    </w:p>
    <w:p>
      <w:pPr>
        <w:pStyle w:val="Heading2"/>
      </w:pPr>
      <w:r>
        <w:t xml:space="preserve">8. Visão</w:t>
      </w:r>
    </w:p>
    <w:p>
      <w:pPr>
        <w:spacing w:after="120"/>
        <w:jc w:val="both"/>
      </w:pPr>
      <w:r>
        <w:t xml:space="preserve">Uma plataforma de gestão de manutenção, ativos, operações de campo e conformidade na qual cada intervenção executada produz evidência rastreável, cada ativo possui histórico íntegro e cada obrigação regulatória é representada como dado versionado, verificável e auditável.</w:t>
      </w:r>
    </w:p>
    <w:p>
      <w:pPr>
        <w:pStyle w:val="Heading2"/>
      </w:pPr>
      <w:r>
        <w:t xml:space="preserve">9. Missão do produto</w:t>
      </w:r>
    </w:p>
    <w:p>
      <w:pPr>
        <w:spacing w:after="120"/>
        <w:jc w:val="both"/>
      </w:pPr>
      <w:r>
        <w:t xml:space="preserve">Permitir que prestadoras de serviços de climatização planejem, executem, comprovem e analisem a manutenção dos sistemas de seus clientes com rastreabilidade integral, segurança e conformidade demonstrável.</w:t>
      </w:r>
    </w:p>
    <w:p>
      <w:pPr>
        <w:pStyle w:val="Heading2"/>
      </w:pPr>
      <w:r>
        <w:t xml:space="preserve">10.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ID</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Objetivo</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Horizonte</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OBJ-001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Estabelecer registro único e confiável de clientes, unidades, ambientes, sistemas e equipamentos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MVP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OBJ-002</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Permitir elaboração, versionamento e emissão do PMOC a partir do inventário real</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MVP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OBJ-003</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Planejar e acompanhar cronogramas de manutenção derivados de regras configuráveis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MVP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OBJ-004</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Registrar execução de campo com checklist, medições e evidências vinculadas ao ativo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MVP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OBJ-005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Produzir trilha de auditoria de negócio desde a primeira versão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MVP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OBJ-006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Representar requisitos regulatórios como dado versionado (Compliance as Data)</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MVP (núcleo) / Pós-MVP (cobertura ampla)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OBJ-007</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Fornecer indicadores operacionais e de conformidade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Pós-MVP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OBJ-008</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Habilitar operação móvel e offline sem reconstrução arquitetural</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Pós-MVP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OBJ-009</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Permitir integrações externas e ingestão de telemetria</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Futuro</w:t>
            </w:r>
          </w:p>
        </w:tc>
      </w:tr>
    </w:tbl>
    <w:p>
      <w:pPr>
        <w:spacing w:after="120"/>
      </w:pPr>
      <w:r>
        <w:t xml:space="preserve"/>
      </w:r>
    </w:p>
    <w:p>
      <w:pPr>
        <w:pStyle w:val="Heading2"/>
      </w:pPr>
      <w:r>
        <w:t xml:space="preserve">11. Resultados esperados</w:t>
      </w:r>
    </w:p>
    <w:p>
      <w:pPr>
        <w:pStyle w:val="ListParagraph"/>
        <w:numPr>
          <w:ilvl w:val="0"/>
          <w:numId w:val="2"/>
        </w:numPr>
        <w:spacing w:after="40"/>
      </w:pPr>
      <w:r>
        <w:t xml:space="preserve">Ciclo de manutenção planejável, executável e comprovável dentro de um único sistema de registro.</w:t>
      </w:r>
    </w:p>
    <w:p>
      <w:pPr>
        <w:pStyle w:val="ListParagraph"/>
        <w:numPr>
          <w:ilvl w:val="0"/>
          <w:numId w:val="2"/>
        </w:numPr>
        <w:spacing w:after="40"/>
      </w:pPr>
      <w:r>
        <w:t xml:space="preserve">Evidências associadas de forma inequívoca a ativo, ordem de serviço, requisito e responsável.</w:t>
      </w:r>
    </w:p>
    <w:p>
      <w:pPr>
        <w:pStyle w:val="ListParagraph"/>
        <w:numPr>
          <w:ilvl w:val="0"/>
          <w:numId w:val="2"/>
        </w:numPr>
        <w:spacing w:after="40"/>
      </w:pPr>
      <w:r>
        <w:t xml:space="preserve">Redução de esforço manual na produção do PMOC e de relatórios de acompanhamento (meta quantitativa a definir — OQ-005).</w:t>
      </w:r>
    </w:p>
    <w:p>
      <w:pPr>
        <w:pStyle w:val="ListParagraph"/>
        <w:numPr>
          <w:ilvl w:val="0"/>
          <w:numId w:val="2"/>
        </w:numPr>
        <w:spacing w:after="40"/>
      </w:pPr>
      <w:r>
        <w:t xml:space="preserve">Capacidade de responder a uma fiscalização a partir de dados do sistema, sem reconstrução manual de histórico.</w:t>
      </w:r>
    </w:p>
    <w:p>
      <w:pPr>
        <w:pStyle w:val="ListParagraph"/>
        <w:numPr>
          <w:ilvl w:val="0"/>
          <w:numId w:val="2"/>
        </w:numPr>
        <w:spacing w:after="40"/>
      </w:pPr>
      <w:r>
        <w:t xml:space="preserve">Base de dados estruturada que habilita analytics e, futuramente, manutenção preditiva.</w:t>
      </w:r>
    </w:p>
    <w:p>
      <w:pPr>
        <w:pStyle w:val="Heading2"/>
      </w:pPr>
      <w:r>
        <w:t xml:space="preserve">12. Usuários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Perfil</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Descrição resumida</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Detalhamento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Administrador do tenant</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Configura a empresa prestadora, usuários, papéis e parâmetros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DOC-005</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Gestor de operações / PCM</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Planeja, prioriza, acompanha execução e indicadores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DOC-005</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Responsável técnico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Assume responsabilidade técnica pelo PMOC e por laudos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DOC-005</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Técnico de campo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Executa ordens de serviço, checklists, medições e evidências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DOC-005</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Back-office / administrativo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Cadastros, contratos, documentos, emissão de relatórios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DOC-005</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Cliente da prestadora (portal)</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Consulta status, documentos e comprovações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DOC-005 (Pós-MVP)</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Auditor / fiscalização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Consome evidências e trilhas (acesso direto é Pós-MVP/A validar)</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DOC-005</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Operação Services.NET</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Suporte, provisionamento, observabilidade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DOC-004</w:t>
            </w:r>
          </w:p>
        </w:tc>
      </w:tr>
    </w:tbl>
    <w:p>
      <w:pPr>
        <w:spacing w:after="120"/>
      </w:pPr>
      <w:r>
        <w:t xml:space="preserve"/>
      </w:r>
    </w:p>
    <w:p>
      <w:pPr>
        <w:pStyle w:val="Heading2"/>
      </w:pPr>
      <w:r>
        <w:t xml:space="preserve">13. Stakeholders</w:t>
      </w:r>
    </w:p>
    <w:p>
      <w:pPr>
        <w:spacing w:after="120"/>
        <w:jc w:val="both"/>
      </w:pPr>
      <w:r>
        <w:t xml:space="preserve">Mapa completo em </w:t>
      </w:r>
      <w:r>
        <w:rPr>
          <w:b/>
          <w:bCs/>
        </w:rPr>
        <w:t xml:space="preserve">DOC-004 — Stakeholder Map</w:t>
      </w:r>
      <w:r>
        <w:t xml:space="preserve">. Em síntese: Services.NET (patrocínio, engenharia, operação), empresa prestadora cliente-piloto (usuário pagante e fonte de requisitos), clientes finais da prestadora, responsáveis técnicos e conselhos profissionais competentes, autoridades sanitárias, e agentes de desenvolvimento (Opus, Claude Code, GPT Codex).</w:t>
      </w:r>
    </w:p>
    <w:p>
      <w:pPr>
        <w:pStyle w:val="Heading2"/>
      </w:pPr>
      <w:r>
        <w:t xml:space="preserve">14. Proposta de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Para</w:t>
            </w:r>
          </w:p>
        </w:tc>
        <w:tc>
          <w:tcPr>
            <w:tcW w:type="dxa" w:w="23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Que precisa de</w:t>
            </w:r>
          </w:p>
        </w:tc>
        <w:tc>
          <w:tcPr>
            <w:tcW w:type="dxa" w:w="23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A plataforma oferece</w:t>
            </w:r>
          </w:p>
        </w:tc>
        <w:tc>
          <w:tcPr>
            <w:tcW w:type="dxa" w:w="23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Diferente de</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Prestadora de climatização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Controlar operação e comprovar conformidade</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Ciclo completo ativo → plano → OS → evidência → relatório, com auditoria nativa</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Planilhas e documentos avulsos</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Responsável técnico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Base defensável para assumir responsabilidade</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Versionamento, rastreabilidade e vínculo evidência–requisito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Documentos estáticos sem histórico</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Cliente final</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Transparência do serviço contratado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Comprovação estruturada e acessível</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Relatórios manuais de periodicidade incerta</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Services.NET</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Produto escalável e evolutivo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Plataforma multi-tenant com compliance como dado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Customização por cliente</w:t>
            </w:r>
          </w:p>
        </w:tc>
      </w:tr>
    </w:tbl>
    <w:p>
      <w:pPr>
        <w:spacing w:after="120"/>
      </w:pPr>
      <w:r>
        <w:t xml:space="preserve"/>
      </w:r>
    </w:p>
    <w:p>
      <w:pPr>
        <w:pStyle w:val="Heading2"/>
      </w:pPr>
      <w:r>
        <w:t xml:space="preserve">15. Capacidades de alto nível</w:t>
      </w:r>
    </w:p>
    <w:p>
      <w:pPr>
        <w:spacing w:after="120"/>
        <w:jc w:val="both"/>
      </w:pPr>
      <w:r>
        <w:t xml:space="preserve">Detalhamento e classificação de escopo em </w:t>
      </w:r>
      <w:r>
        <w:rPr>
          <w:b/>
          <w:bCs/>
        </w:rPr>
        <w:t xml:space="preserve">DOC-006 — Product Capabilities Map</w:t>
      </w:r>
      <w:r>
        <w:t xml:space="preserve">. Agrupamentos principais: Identidade e Tenancy; Cadastro Comercial e Contratual; Inventário de Ativos; Planejamento e Conformidade; Programação e Ordens de Serviço; Execução em Campo; Evidências e Documentos; Não Conformidades e Ações Corretivas; Relatórios e Indicadores; Auditoria; Administração e Integrações.</w:t>
      </w:r>
    </w:p>
    <w:p>
      <w:pPr>
        <w:pStyle w:val="Heading2"/>
      </w:pPr>
      <w:r>
        <w:t xml:space="preserve">16. Escopo inicial</w:t>
      </w:r>
    </w:p>
    <w:p>
      <w:pPr>
        <w:spacing w:after="120"/>
        <w:jc w:val="both"/>
      </w:pPr>
      <w:r>
        <w:t xml:space="preserve">O escopo do MVP é definido em </w:t>
      </w:r>
      <w:r>
        <w:rPr>
          <w:b/>
          <w:bCs/>
        </w:rPr>
        <w:t xml:space="preserve">DOC-007 — MVP Definition</w:t>
      </w:r>
      <w:r>
        <w:t xml:space="preserve"> e delimitado em </w:t>
      </w:r>
      <w:r>
        <w:rPr>
          <w:b/>
          <w:bCs/>
        </w:rPr>
        <w:t xml:space="preserve">DOC-003 — Project Scope</w:t>
      </w:r>
      <w:r>
        <w:t xml:space="preserve">. Em resumo, o MVP cobre: cadastro de tenant, usuários e papéis; cadastro de clientes, unidades, ambientes, sistemas e equipamentos; planos de manutenção baseados em regras configuráveis; geração e acompanhamento de cronograma; ordens de serviço com checklist e medições; anexo de evidências; registro de não conformidades; geração do documento PMOC e de relatórios operacionais essenciais; trilha de auditoria; núcleo de Compliance as Data.</w:t>
      </w:r>
    </w:p>
    <w:p>
      <w:pPr>
        <w:pStyle w:val="Heading2"/>
      </w:pPr>
      <w:r>
        <w:t xml:space="preserve">17. Fora de escopo (nesta etapa)</w:t>
      </w:r>
    </w:p>
    <w:p>
      <w:pPr>
        <w:pStyle w:val="ListParagraph"/>
        <w:numPr>
          <w:ilvl w:val="0"/>
          <w:numId w:val="2"/>
        </w:numPr>
        <w:spacing w:after="40"/>
      </w:pPr>
      <w:r>
        <w:t xml:space="preserve">Aplicativos móveis nativos (Android/iOS) e operação offline — previstos, não construídos no MVP.</w:t>
      </w:r>
    </w:p>
    <w:p>
      <w:pPr>
        <w:pStyle w:val="ListParagraph"/>
        <w:numPr>
          <w:ilvl w:val="0"/>
          <w:numId w:val="2"/>
        </w:numPr>
        <w:spacing w:after="40"/>
      </w:pPr>
      <w:r>
        <w:t xml:space="preserve">Módulo financeiro completo (faturamento, contas a receber, folha).</w:t>
      </w:r>
    </w:p>
    <w:p>
      <w:pPr>
        <w:pStyle w:val="ListParagraph"/>
        <w:numPr>
          <w:ilvl w:val="0"/>
          <w:numId w:val="2"/>
        </w:numPr>
        <w:spacing w:after="40"/>
      </w:pPr>
      <w:r>
        <w:t xml:space="preserve">Gestão de estoque e compras.</w:t>
      </w:r>
    </w:p>
    <w:p>
      <w:pPr>
        <w:pStyle w:val="ListParagraph"/>
        <w:numPr>
          <w:ilvl w:val="0"/>
          <w:numId w:val="2"/>
        </w:numPr>
        <w:spacing w:after="40"/>
      </w:pPr>
      <w:r>
        <w:t xml:space="preserve">Integrações com ERPs de terceiros.</w:t>
      </w:r>
    </w:p>
    <w:p>
      <w:pPr>
        <w:pStyle w:val="ListParagraph"/>
        <w:numPr>
          <w:ilvl w:val="0"/>
          <w:numId w:val="2"/>
        </w:numPr>
        <w:spacing w:after="40"/>
      </w:pPr>
      <w:r>
        <w:t xml:space="preserve">Sensores, IoT, telemetria e manutenção preditiva.</w:t>
      </w:r>
    </w:p>
    <w:p>
      <w:pPr>
        <w:pStyle w:val="ListParagraph"/>
        <w:numPr>
          <w:ilvl w:val="0"/>
          <w:numId w:val="2"/>
        </w:numPr>
        <w:spacing w:after="40"/>
      </w:pPr>
      <w:r>
        <w:t xml:space="preserve">Recursos assistidos por IA aplicados ao produto final.</w:t>
      </w:r>
    </w:p>
    <w:p>
      <w:pPr>
        <w:pStyle w:val="ListParagraph"/>
        <w:numPr>
          <w:ilvl w:val="0"/>
          <w:numId w:val="2"/>
        </w:numPr>
        <w:spacing w:after="40"/>
      </w:pPr>
      <w:r>
        <w:t xml:space="preserve">Portal do cliente final com autoatendimento completo.</w:t>
      </w:r>
    </w:p>
    <w:p>
      <w:pPr>
        <w:pStyle w:val="ListParagraph"/>
        <w:numPr>
          <w:ilvl w:val="0"/>
          <w:numId w:val="2"/>
        </w:numPr>
        <w:spacing w:after="40"/>
      </w:pPr>
      <w:r>
        <w:t xml:space="preserve">Assinatura digital com validade ICP-Brasil (a validar — OQ-006).</w:t>
      </w:r>
    </w:p>
    <w:p>
      <w:pPr>
        <w:pStyle w:val="ListParagraph"/>
        <w:numPr>
          <w:ilvl w:val="0"/>
          <w:numId w:val="2"/>
        </w:numPr>
        <w:spacing w:after="40"/>
      </w:pPr>
      <w:r>
        <w:t xml:space="preserve">Emissão de documentos fiscais.</w:t>
      </w:r>
    </w:p>
    <w:p>
      <w:pPr>
        <w:pStyle w:val="ListParagraph"/>
        <w:numPr>
          <w:ilvl w:val="0"/>
          <w:numId w:val="2"/>
        </w:numPr>
        <w:spacing w:after="40"/>
      </w:pPr>
      <w:r>
        <w:t xml:space="preserve">Multi-idioma e múltiplas jurisdições regulatórias.</w:t>
      </w:r>
    </w:p>
    <w:p>
      <w:pPr>
        <w:pStyle w:val="Heading2"/>
      </w:pPr>
      <w:r>
        <w:t xml:space="preserve">18. Premissas</w:t>
      </w:r>
    </w:p>
    <w:p>
      <w:pPr>
        <w:spacing w:after="120"/>
        <w:jc w:val="both"/>
      </w:pPr>
      <w:r>
        <w:t xml:space="preserve">Registro completo em </w:t>
      </w:r>
      <w:r>
        <w:rPr>
          <w:b/>
          <w:bCs/>
        </w:rPr>
        <w:t xml:space="preserve">XLS-001</w:t>
      </w:r>
      <w:r>
        <w:t xml:space="preserve">. Premissas estruturantes: existência de um cliente-piloto disponível para validação de requisitos (ASM-001); operação da plataforma sob responsabilidade da Services.NET (ASM-002); conectividade adequada para o MVP Web (ASM-004); jurisdição inicial exclusivamente brasileira (ASM-005); dados pessoais tratados limitam-se a contexto profissional e de contato (ASM-006, sujeito a validação jurídica).</w:t>
      </w:r>
    </w:p>
    <w:p>
      <w:pPr>
        <w:pStyle w:val="Heading2"/>
      </w:pPr>
      <w:r>
        <w:t xml:space="preserve">19. Restrições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ID</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Restrição</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Natureza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CON-001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Nenhuma escolha tecnológica é definitiva antes de ADR aprovado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Governança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CON-002</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MVP deve ser utilizável via navegador</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Produto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CON-003</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Arquitetura deve ser API First e multi-tenant desde a concepção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Arquitetura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CON-004</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Normas técnicas protegidas por direito autoral não podem ser reproduzidas integralmente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Legal</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CON-005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Bases legais da LGPD e interpretação regulatória exigem validação jurídica externa</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Legal</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CON-006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Microsserviços exigem justificativa objetiva; preferência por Modular Monolith</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Arquitetura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CON-007</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Identificadores sequenciais não podem ser expostos externamente sem avaliação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Segurança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CON-008</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Fases documentais não avançam sem registro de decisões, riscos e critérios de aceite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Processo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CON-009</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Equipe, orçamento e prazo ainda não informados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Planejamento (OQ-007)</w:t>
            </w:r>
          </w:p>
        </w:tc>
      </w:tr>
    </w:tbl>
    <w:p>
      <w:pPr>
        <w:spacing w:after="120"/>
      </w:pPr>
      <w:r>
        <w:t xml:space="preserve"/>
      </w:r>
    </w:p>
    <w:p>
      <w:pPr>
        <w:pStyle w:val="Heading2"/>
      </w:pPr>
      <w:r>
        <w:t xml:space="preserve">20. Dependências</w:t>
      </w:r>
    </w:p>
    <w:p>
      <w:pPr>
        <w:pStyle w:val="ListParagraph"/>
        <w:numPr>
          <w:ilvl w:val="0"/>
          <w:numId w:val="2"/>
        </w:numPr>
        <w:spacing w:after="40"/>
      </w:pPr>
      <w:r>
        <w:t xml:space="preserve">Disponibilidade do cliente-piloto para levantamento da Fase 2.</w:t>
      </w:r>
    </w:p>
    <w:p>
      <w:pPr>
        <w:pStyle w:val="ListParagraph"/>
        <w:numPr>
          <w:ilvl w:val="0"/>
          <w:numId w:val="2"/>
        </w:numPr>
        <w:spacing w:after="40"/>
      </w:pPr>
      <w:r>
        <w:t xml:space="preserve">Parecer jurídico sobre vigência regulatória e bases legais da LGPD.</w:t>
      </w:r>
    </w:p>
    <w:p>
      <w:pPr>
        <w:pStyle w:val="ListParagraph"/>
        <w:numPr>
          <w:ilvl w:val="0"/>
          <w:numId w:val="2"/>
        </w:numPr>
        <w:spacing w:after="40"/>
      </w:pPr>
      <w:r>
        <w:t xml:space="preserve">Parecer de responsável técnico (engenharia mecânica/refrigeração) sobre periodicidades e parâmetros.</w:t>
      </w:r>
    </w:p>
    <w:p>
      <w:pPr>
        <w:pStyle w:val="ListParagraph"/>
        <w:numPr>
          <w:ilvl w:val="0"/>
          <w:numId w:val="2"/>
        </w:numPr>
        <w:spacing w:after="40"/>
      </w:pPr>
      <w:r>
        <w:t xml:space="preserve">Aquisição legítima das normas técnicas ABNT aplicáveis para consulta interna.</w:t>
      </w:r>
    </w:p>
    <w:p>
      <w:pPr>
        <w:pStyle w:val="ListParagraph"/>
        <w:numPr>
          <w:ilvl w:val="0"/>
          <w:numId w:val="2"/>
        </w:numPr>
        <w:spacing w:after="40"/>
      </w:pPr>
      <w:r>
        <w:t xml:space="preserve">Definição de provedor de nuvem, object storage e provedor de identidade.</w:t>
      </w:r>
    </w:p>
    <w:p>
      <w:pPr>
        <w:pStyle w:val="ListParagraph"/>
        <w:numPr>
          <w:ilvl w:val="0"/>
          <w:numId w:val="2"/>
        </w:numPr>
        <w:spacing w:after="40"/>
      </w:pPr>
      <w:r>
        <w:t xml:space="preserve">Definição do repositório Git e do pipeline de CI/CD.</w:t>
      </w:r>
    </w:p>
    <w:p>
      <w:pPr>
        <w:pStyle w:val="Heading2"/>
      </w:pPr>
      <w:r>
        <w:t xml:space="preserve">21. Riscos iniciais</w:t>
      </w:r>
    </w:p>
    <w:p>
      <w:pPr>
        <w:spacing w:after="120"/>
        <w:jc w:val="both"/>
      </w:pPr>
      <w:r>
        <w:t xml:space="preserve">Registro completo em </w:t>
      </w:r>
      <w:r>
        <w:rPr>
          <w:b/>
          <w:bCs/>
        </w:rPr>
        <w:t xml:space="preserve">XLS-002</w:t>
      </w:r>
      <w:r>
        <w:t xml:space="preserve">. Os cinco mais relevantes: incerteza regulatória quanto ao referencial técnico vigente (RSK-001); vazamento entre tenants (RSK-002); escopo excessivo no MVP (RSK-003); ausência de cliente-piloto engajado gerando requisitos presumidos (RSK-004); decisões arquiteturais alteradas silenciosamente por agentes de desenvolvimento (RSK-005).</w:t>
      </w:r>
    </w:p>
    <w:p>
      <w:pPr>
        <w:pStyle w:val="Heading2"/>
      </w:pPr>
      <w:r>
        <w:t xml:space="preserve">22. Requisitos não funcionais de alto nível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ID</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Categoria</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Diretriz de alto nível (metas numéricas a definir na Fase 2)</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NFR-H-001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Disponibilidade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Serviço contínuo em horário comercial estendido; alvo de SLA a definir</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NFR-H-002</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Desempenho</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Tempo de resposta adequado a uso operacional em campo e escritório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NFR-H-003</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Escalabilidade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Crescimento por número de tenants, ativos e evidências sem redesenho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NFR-H-004</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Segurança</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Secure by Design, least privilege, defense in depth</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NFR-H-005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Privacidade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Privacy by Design; minimização e retenção definida</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NFR-H-006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Auditabilidade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Trilha de auditoria de negócio íntegra e consultável</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NFR-H-007</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Observabilidade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Logs estruturados, métricas, tracing e correlation ID</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NFR-H-008</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Manutenibilidade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Arquitetura modular, baixo acoplamento, alta coesão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NFR-H-009</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Interoperabilidade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API versionada e documentada em OpenAPI</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NFR-H-010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Portabilidade de dados</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Exportação de dados do tenant</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NFR-H-011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Continuidade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Backup, restore testado e plano de recuperação</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NFR-H-012</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Acessibilidade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Alvo de conformidade a definir (OQ-008)</w:t>
            </w:r>
          </w:p>
        </w:tc>
      </w:tr>
    </w:tbl>
    <w:p>
      <w:pPr>
        <w:spacing w:after="120"/>
      </w:pPr>
      <w:r>
        <w:t xml:space="preserve"/>
      </w:r>
    </w:p>
    <w:p>
      <w:pPr>
        <w:pStyle w:val="Heading2"/>
      </w:pPr>
      <w:r>
        <w:t xml:space="preserve">23. Princípios de segurança</w:t>
      </w:r>
    </w:p>
    <w:p>
      <w:pPr>
        <w:pStyle w:val="ListParagraph"/>
        <w:numPr>
          <w:ilvl w:val="0"/>
          <w:numId w:val="3"/>
        </w:numPr>
        <w:spacing w:after="40"/>
      </w:pPr>
      <w:r>
        <w:t xml:space="preserve">Secure by Design e Privacy by Design desde a modelagem, não como camada posterior.</w:t>
      </w:r>
    </w:p>
    <w:p>
      <w:pPr>
        <w:pStyle w:val="ListParagraph"/>
        <w:numPr>
          <w:ilvl w:val="0"/>
          <w:numId w:val="3"/>
        </w:numPr>
        <w:spacing w:after="40"/>
      </w:pPr>
      <w:r>
        <w:t xml:space="preserve">Least Privilege para usuários, serviços, integrações e agentes.</w:t>
      </w:r>
    </w:p>
    <w:p>
      <w:pPr>
        <w:pStyle w:val="ListParagraph"/>
        <w:numPr>
          <w:ilvl w:val="0"/>
          <w:numId w:val="3"/>
        </w:numPr>
        <w:spacing w:after="40"/>
      </w:pPr>
      <w:r>
        <w:t xml:space="preserve">Defense in Depth: isolamento de tenant verificado em múltiplas camadas.</w:t>
      </w:r>
    </w:p>
    <w:p>
      <w:pPr>
        <w:pStyle w:val="ListParagraph"/>
        <w:numPr>
          <w:ilvl w:val="0"/>
          <w:numId w:val="3"/>
        </w:numPr>
        <w:spacing w:after="40"/>
      </w:pPr>
      <w:r>
        <w:t xml:space="preserve">Autenticação forte, com MFA exigido ao menos para perfis administrativos.</w:t>
      </w:r>
    </w:p>
    <w:p>
      <w:pPr>
        <w:pStyle w:val="ListParagraph"/>
        <w:numPr>
          <w:ilvl w:val="0"/>
          <w:numId w:val="3"/>
        </w:numPr>
        <w:spacing w:after="40"/>
      </w:pPr>
      <w:r>
        <w:t xml:space="preserve">Autorização por RBAC com permissões granulares e verificação server-side obrigatória.</w:t>
      </w:r>
    </w:p>
    <w:p>
      <w:pPr>
        <w:pStyle w:val="ListParagraph"/>
        <w:numPr>
          <w:ilvl w:val="0"/>
          <w:numId w:val="3"/>
        </w:numPr>
        <w:spacing w:after="40"/>
      </w:pPr>
      <w:r>
        <w:t xml:space="preserve">Criptografia em trânsito obrigatória; criptografia em repouso conforme classificação do dado.</w:t>
      </w:r>
    </w:p>
    <w:p>
      <w:pPr>
        <w:pStyle w:val="ListParagraph"/>
        <w:numPr>
          <w:ilvl w:val="0"/>
          <w:numId w:val="3"/>
        </w:numPr>
        <w:spacing w:after="40"/>
      </w:pPr>
      <w:r>
        <w:t xml:space="preserve">Evidências e documentos servidos por acesso controlado e temporário, nunca por URL pública permanente.</w:t>
      </w:r>
    </w:p>
    <w:p>
      <w:pPr>
        <w:pStyle w:val="ListParagraph"/>
        <w:numPr>
          <w:ilvl w:val="0"/>
          <w:numId w:val="3"/>
        </w:numPr>
        <w:spacing w:after="40"/>
      </w:pPr>
      <w:r>
        <w:t xml:space="preserve">Segregação entre logs técnicos e trilha de auditoria de negócio.</w:t>
      </w:r>
    </w:p>
    <w:p>
      <w:pPr>
        <w:pStyle w:val="ListParagraph"/>
        <w:numPr>
          <w:ilvl w:val="0"/>
          <w:numId w:val="3"/>
        </w:numPr>
        <w:spacing w:after="40"/>
      </w:pPr>
      <w:r>
        <w:t xml:space="preserve">Gestão de secrets fora do código-fonte e fora do repositório.</w:t>
      </w:r>
    </w:p>
    <w:p>
      <w:pPr>
        <w:pStyle w:val="ListParagraph"/>
        <w:numPr>
          <w:ilvl w:val="0"/>
          <w:numId w:val="3"/>
        </w:numPr>
        <w:spacing w:after="40"/>
      </w:pPr>
      <w:r>
        <w:t xml:space="preserve">Controle de cadeia de suprimentos: dependências inventariadas e monitoradas.</w:t>
      </w:r>
    </w:p>
    <w:p>
      <w:pPr>
        <w:pStyle w:val="ListParagraph"/>
        <w:numPr>
          <w:ilvl w:val="0"/>
          <w:numId w:val="3"/>
        </w:numPr>
        <w:spacing w:after="40"/>
      </w:pPr>
      <w:r>
        <w:t xml:space="preserve">Rate limiting e proteção contra abuso em toda superfície pública.</w:t>
      </w:r>
    </w:p>
    <w:p>
      <w:pPr>
        <w:pStyle w:val="ListParagraph"/>
        <w:numPr>
          <w:ilvl w:val="0"/>
          <w:numId w:val="3"/>
        </w:numPr>
        <w:spacing w:after="40"/>
      </w:pPr>
      <w:r>
        <w:t xml:space="preserve">Backup, restore e recuperação testados periodicamente, não presumidos.</w:t>
      </w:r>
    </w:p>
    <w:p>
      <w:pPr>
        <w:pStyle w:val="Heading2"/>
      </w:pPr>
      <w:r>
        <w:t xml:space="preserve">24. Princípios regulatórios</w:t>
      </w:r>
    </w:p>
    <w:p>
      <w:pPr>
        <w:pStyle w:val="ListParagraph"/>
        <w:numPr>
          <w:ilvl w:val="0"/>
          <w:numId w:val="3"/>
        </w:numPr>
        <w:spacing w:after="40"/>
      </w:pPr>
      <w:r>
        <w:t xml:space="preserve">Legislação é dado vivo: nunca presumir vigência a partir de documento histórico.</w:t>
      </w:r>
    </w:p>
    <w:p>
      <w:pPr>
        <w:pStyle w:val="ListParagraph"/>
        <w:numPr>
          <w:ilvl w:val="0"/>
          <w:numId w:val="3"/>
        </w:numPr>
        <w:spacing w:after="40"/>
      </w:pPr>
      <w:r>
        <w:t xml:space="preserve">Toda regra regulatória registrada deve conter norma, órgão, fonte oficial, data da consulta e, quando conhecida, vigência.</w:t>
      </w:r>
    </w:p>
    <w:p>
      <w:pPr>
        <w:pStyle w:val="ListParagraph"/>
        <w:numPr>
          <w:ilvl w:val="0"/>
          <w:numId w:val="3"/>
        </w:numPr>
        <w:spacing w:after="40"/>
      </w:pPr>
      <w:r>
        <w:t xml:space="preserve">Distinguir formalmente lei, regulamento, norma técnica, recomendação e regra interna do cliente.</w:t>
      </w:r>
    </w:p>
    <w:p>
      <w:pPr>
        <w:pStyle w:val="ListParagraph"/>
        <w:numPr>
          <w:ilvl w:val="0"/>
          <w:numId w:val="3"/>
        </w:numPr>
        <w:spacing w:after="40"/>
      </w:pPr>
      <w:r>
        <w:t xml:space="preserve">Normas técnicas protegidas por direito autoral são referenciadas, nunca reproduzidas integralmente.</w:t>
      </w:r>
    </w:p>
    <w:p>
      <w:pPr>
        <w:pStyle w:val="ListParagraph"/>
        <w:numPr>
          <w:ilvl w:val="0"/>
          <w:numId w:val="3"/>
        </w:numPr>
        <w:spacing w:after="40"/>
      </w:pPr>
      <w:r>
        <w:t xml:space="preserve">Incertezas são registradas como questão aberta, não resolvidas por inferência.</w:t>
      </w:r>
    </w:p>
    <w:p>
      <w:pPr>
        <w:pStyle w:val="ListParagraph"/>
        <w:numPr>
          <w:ilvl w:val="0"/>
          <w:numId w:val="3"/>
        </w:numPr>
        <w:spacing w:after="40"/>
      </w:pPr>
      <w:r>
        <w:t xml:space="preserve">Pontos que exigem validação jurídica ou de responsável técnico são sinalizados explicitamente.</w:t>
      </w:r>
    </w:p>
    <w:p>
      <w:pPr>
        <w:pStyle w:val="ListParagraph"/>
        <w:numPr>
          <w:ilvl w:val="0"/>
          <w:numId w:val="3"/>
        </w:numPr>
        <w:spacing w:after="40"/>
      </w:pPr>
      <w:r>
        <w:t xml:space="preserve">Regras, periodicidades e parâmetros residem em dados versionados, não no código.</w:t>
      </w:r>
    </w:p>
    <w:p>
      <w:pPr>
        <w:pStyle w:val="Heading2"/>
      </w:pPr>
      <w:r>
        <w:t xml:space="preserve">25. Estratégia Multi-Tenant</w:t>
      </w:r>
    </w:p>
    <w:p>
      <w:pPr>
        <w:spacing w:after="120"/>
        <w:jc w:val="both"/>
      </w:pPr>
      <w:r>
        <w:t xml:space="preserve">A plataforma é multi-tenant, sendo o tenant a empresa prestadora de serviços. Cada tenant possui isolamento adequado de dados, e a hierarquia tenant → clientes → unidades → ambientes → sistemas → equipamentos é o eixo de autorização e de escopo de consulta.</w:t>
      </w:r>
    </w:p>
    <w:p>
      <w:pPr>
        <w:spacing w:after="120"/>
        <w:jc w:val="both"/>
      </w:pPr>
      <w:r>
        <w:t xml:space="preserve">O </w:t>
      </w:r>
      <w:r>
        <w:rPr>
          <w:b/>
          <w:bCs/>
        </w:rPr>
        <w:t xml:space="preserve">modelo técnico de isolamento</w:t>
      </w:r>
      <w:r>
        <w:t xml:space="preserve"> (banco por tenant, esquema por tenant, tabela compartilhada com discriminador, ou híbrido) </w:t>
      </w:r>
      <w:r>
        <w:rPr>
          <w:b/>
          <w:bCs/>
        </w:rPr>
        <w:t xml:space="preserve">não está decidido</w:t>
      </w:r>
      <w:r>
        <w:t xml:space="preserve">. Será objeto de </w:t>
      </w:r>
      <w:r>
        <w:rPr>
          <w:b/>
          <w:bCs/>
        </w:rPr>
        <w:t xml:space="preserve">ADR-001</w:t>
      </w:r>
      <w:r>
        <w:t xml:space="preserve"> na Fase 5, avaliando isolamento, custo operacional, complexidade de migrações, backup/restore por tenant, portabilidade e requisitos de exclusão de dados. Até a decisão, o modelo de domínio assume apenas que toda entidade de negócio é qualificada por </w:t>
      </w:r>
      <w:r>
        <w:rPr>
          <w:rFonts w:ascii="Consolas" w:cs="Consolas" w:eastAsia="Consolas" w:hAnsi="Consolas"/>
          <w:sz w:val="20"/>
          <w:szCs w:val="20"/>
        </w:rPr>
        <w:t xml:space="preserve">TenantId</w:t>
      </w:r>
      <w:r>
        <w:t xml:space="preserve"> e que nenhuma consulta pode ser executada sem escopo de tenant resolvido no servidor.</w:t>
      </w:r>
    </w:p>
    <w:p>
      <w:pPr>
        <w:pStyle w:val="Heading2"/>
      </w:pPr>
      <w:r>
        <w:t xml:space="preserve">26. Estratégia Web First / API First</w:t>
      </w:r>
    </w:p>
    <w:p>
      <w:pPr>
        <w:spacing w:after="120"/>
        <w:jc w:val="both"/>
      </w:pPr>
      <w:r>
        <w:t xml:space="preserve">O MVP entrega uma aplicação web. A API, entretanto, é o contrato primário: toda funcionalidade exposta à interface web deve existir como operação de API versionada, documentada em OpenAPI, com semântica estável e independente da interface.</w:t>
      </w:r>
    </w:p>
    <w:p>
      <w:pPr>
        <w:spacing w:after="120"/>
        <w:jc w:val="both"/>
      </w:pPr>
      <w:r>
        <w:t xml:space="preserve">Consequências obrigatórias: nenhuma regra de negócio exclusiva da camada de apresentação; autorização sempre verificada no servidor; contratos versionados com política explícita de compatibilidade; identificadores estáveis e opacos; operações sensíveis idempotentes, preparando sincronização futura.</w:t>
      </w:r>
    </w:p>
    <w:p>
      <w:pPr>
        <w:pStyle w:val="Heading2"/>
      </w:pPr>
      <w:r>
        <w:t xml:space="preserve">27. Evolução Mobile</w:t>
      </w:r>
    </w:p>
    <w:p>
      <w:pPr>
        <w:spacing w:after="120"/>
        <w:jc w:val="both"/>
      </w:pPr>
      <w:r>
        <w:t xml:space="preserve">Aplicações PWA, Android e iOS, com operação offline e sincronização posterior, são evoluções previstas e </w:t>
      </w:r>
      <w:r>
        <w:rPr>
          <w:b/>
          <w:bCs/>
        </w:rPr>
        <w:t xml:space="preserve">não implementadas no MVP</w:t>
      </w:r>
      <w:r>
        <w:t xml:space="preserve">. A arquitetura deve evitar decisões que as inviabilizem, em particular quanto a: estratégia de identificadores gerados pelo cliente (UUIDv7 ou equivalente — ADR-002); idempotência de operações de escrita; modelo de resolução de conflitos; upload de evidências resiliente e retomável; contratos de API tolerantes a versões defasadas de cliente.</w:t>
      </w:r>
    </w:p>
    <w:p>
      <w:pPr>
        <w:pStyle w:val="Heading2"/>
      </w:pPr>
      <w:r>
        <w:t xml:space="preserve">28. Critérios para MVP</w:t>
      </w:r>
    </w:p>
    <w:p>
      <w:pPr>
        <w:spacing w:after="120"/>
        <w:jc w:val="both"/>
      </w:pPr>
      <w:r>
        <w:t xml:space="preserve">Um item pertence ao MVP quando satisfaz simultaneamente:</w:t>
      </w:r>
    </w:p>
    <w:p>
      <w:pPr>
        <w:pStyle w:val="ListParagraph"/>
        <w:numPr>
          <w:ilvl w:val="0"/>
          <w:numId w:val="3"/>
        </w:numPr>
        <w:spacing w:after="40"/>
      </w:pPr>
      <w:r>
        <w:t xml:space="preserve">é necessário para que o cliente-piloto execute o ciclo completo cliente → ativo → plano → ordem de serviço → execução → evidência → PMOC/relatório;</w:t>
      </w:r>
    </w:p>
    <w:p>
      <w:pPr>
        <w:pStyle w:val="ListParagraph"/>
        <w:numPr>
          <w:ilvl w:val="0"/>
          <w:numId w:val="3"/>
        </w:numPr>
        <w:spacing w:after="40"/>
      </w:pPr>
      <w:r>
        <w:t xml:space="preserve">sua ausência impediria a operação real ou a comprovação de conformidade;</w:t>
      </w:r>
    </w:p>
    <w:p>
      <w:pPr>
        <w:pStyle w:val="ListParagraph"/>
        <w:numPr>
          <w:ilvl w:val="0"/>
          <w:numId w:val="3"/>
        </w:numPr>
        <w:spacing w:after="40"/>
      </w:pPr>
      <w:r>
        <w:t xml:space="preserve">pode ser entregue com requisitos claros, regras conhecidas e critérios de aceite definidos (Definition of Ready);</w:t>
      </w:r>
    </w:p>
    <w:p>
      <w:pPr>
        <w:pStyle w:val="ListParagraph"/>
        <w:numPr>
          <w:ilvl w:val="0"/>
          <w:numId w:val="3"/>
        </w:numPr>
        <w:spacing w:after="40"/>
      </w:pPr>
      <w:r>
        <w:t xml:space="preserve">não depende de decisão regulatória ou jurídica ainda pendente;</w:t>
      </w:r>
    </w:p>
    <w:p>
      <w:pPr>
        <w:pStyle w:val="ListParagraph"/>
        <w:numPr>
          <w:ilvl w:val="0"/>
          <w:numId w:val="3"/>
        </w:numPr>
        <w:spacing w:after="40"/>
      </w:pPr>
      <w:r>
        <w:t xml:space="preserve">não exige plataforma adicional (mobile nativo, IoT, IA).</w:t>
      </w:r>
    </w:p>
    <w:p>
      <w:pPr>
        <w:pStyle w:val="Heading2"/>
      </w:pPr>
      <w:r>
        <w:t xml:space="preserve">29. Métricas de sucesso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ID</w:t>
            </w:r>
          </w:p>
        </w:tc>
        <w:tc>
          <w:tcPr>
            <w:tcW w:type="dxa" w:w="23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Métrica</w:t>
            </w:r>
          </w:p>
        </w:tc>
        <w:tc>
          <w:tcPr>
            <w:tcW w:type="dxa" w:w="23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Tipo</w:t>
            </w:r>
          </w:p>
        </w:tc>
        <w:tc>
          <w:tcPr>
            <w:tcW w:type="dxa" w:w="23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Baseline/Meta</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MET-001</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Ativos cadastrados e vinculados a plano de manutenção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Adoção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 definir com o piloto</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MET-002</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Ordens de serviço executadas com registro completo no sistema</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Adoção/Qualidade</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 definir</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MET-003</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Percentual de execuções com evidência vinculada</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Qualidade probatória</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 definir</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MET-004</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Aderência ao cronograma planejado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Operacional</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 definir</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MET-005</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Tempo de emissão do PMOC atualizado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Eficiência</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 definir</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MET-006</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Não conformidades registradas e tratadas dentro do prazo</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Conformidade</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 definir</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MET-007</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Incidentes de segurança ou de vazamento entre tenants</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Segurança</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Zero</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MET-008</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Cobertura de requisitos rastreados na RTM</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Engenharia</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100% dos requisitos aprovados</w:t>
            </w:r>
          </w:p>
        </w:tc>
      </w:tr>
    </w:tbl>
    <w:p>
      <w:pPr>
        <w:spacing w:after="120"/>
      </w:pPr>
      <w:r>
        <w:t xml:space="preserve"/>
      </w:r>
    </w:p>
    <w:p>
      <w:pPr>
        <w:spacing w:after="120"/>
        <w:jc w:val="both"/>
      </w:pPr>
      <w:r>
        <w:t xml:space="preserve">Metas numéricas não serão arbitradas nesta fase (OQ-005).</w:t>
      </w:r>
    </w:p>
    <w:p>
      <w:pPr>
        <w:pStyle w:val="Heading2"/>
      </w:pPr>
      <w:r>
        <w:t xml:space="preserve">30. Governança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Elemento</w:t>
            </w:r>
          </w:p>
        </w:tc>
        <w:tc>
          <w:tcPr>
            <w:tcW w:type="dxa" w:w="46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before="20"/>
            </w:pPr>
            <w:r>
              <w:rPr>
                <w:b/>
                <w:bCs/>
                <w:color w:val="FFFFFF"/>
                <w:sz w:val="18"/>
                <w:szCs w:val="18"/>
              </w:rPr>
              <w:t xml:space="preserve">Definição</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Autoridade de escopo</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Product Owner (a designar), com validação do patrocinador</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Autoridade arquitetural</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Principal Architect da Services.NET, via ADR</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Autoridade regulatória</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Responsável técnico e assessoria jurídica; a engenharia não decide vigência</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Fonte autoritativa — documentos executivos</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Microsoft 365 (Word, Excel, Power BI)</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Fonte autoritativa — decisões de implementação</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Repositório Git (</w:t>
            </w:r>
            <w:r>
              <w:rPr>
                <w:rFonts w:ascii="Consolas" w:cs="Consolas" w:eastAsia="Consolas" w:hAnsi="Consolas"/>
                <w:sz w:val="20"/>
                <w:szCs w:val="20"/>
              </w:rPr>
              <w:t xml:space="preserve">/docs</w:t>
            </w:r>
            <w:r>
              <w:t xml:space="preserve">, </w:t>
            </w:r>
            <w:r>
              <w:rPr>
                <w:rFonts w:ascii="Consolas" w:cs="Consolas" w:eastAsia="Consolas" w:hAnsi="Consolas"/>
                <w:sz w:val="20"/>
                <w:szCs w:val="20"/>
              </w:rPr>
              <w:t xml:space="preserve">README.md</w:t>
            </w:r>
            <w:r>
              <w:t xml:space="preserve">, </w:t>
            </w:r>
            <w:r>
              <w:rPr>
                <w:rFonts w:ascii="Consolas" w:cs="Consolas" w:eastAsia="Consolas" w:hAnsi="Consolas"/>
                <w:sz w:val="20"/>
                <w:szCs w:val="20"/>
              </w:rPr>
              <w:t xml:space="preserve">AGENTS.md</w:t>
            </w:r>
            <w:r>
              <w:t xml:space="preserve">, </w:t>
            </w:r>
            <w:r>
              <w:rPr>
                <w:rFonts w:ascii="Consolas" w:cs="Consolas" w:eastAsia="Consolas" w:hAnsi="Consolas"/>
                <w:sz w:val="20"/>
                <w:szCs w:val="20"/>
              </w:rPr>
              <w:t xml:space="preserve">CLAUDE.md</w:t>
            </w:r>
            <w:r>
              <w:t xml:space="preserve">)</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Regra antiduplicidade</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Cada informação possui uma única fonte autoritativa, declarada no cabeçalho do artefato</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Versionamento</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Todo artefato possui identificador, versão, data e status</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Cadência de revisão</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before="20"/>
            </w:pPr>
            <w:r>
              <w:t xml:space="preserve">Revisão formal ao fim de cada fase, antes do avanço</w:t>
            </w:r>
          </w:p>
        </w:tc>
      </w:tr>
    </w:tbl>
    <w:p>
      <w:pPr>
        <w:spacing w:after="120"/>
      </w:pPr>
      <w:r>
        <w:t xml:space="preserve"/>
      </w:r>
    </w:p>
    <w:p>
      <w:pPr>
        <w:pStyle w:val="Heading2"/>
      </w:pPr>
      <w:r>
        <w:t xml:space="preserve">31. Processo de decisão</w:t>
      </w:r>
    </w:p>
    <w:p>
      <w:pPr>
        <w:pStyle w:val="ListParagraph"/>
        <w:numPr>
          <w:ilvl w:val="0"/>
          <w:numId w:val="3"/>
        </w:numPr>
        <w:spacing w:after="40"/>
      </w:pPr>
      <w:r>
        <w:t xml:space="preserve">Decisões </w:t>
      </w:r>
      <w:r>
        <w:rPr>
          <w:b/>
          <w:bCs/>
        </w:rPr>
        <w:t xml:space="preserve">funcionais e de produto</w:t>
      </w:r>
      <w:r>
        <w:t xml:space="preserve"> são registradas no </w:t>
      </w:r>
      <w:r>
        <w:rPr>
          <w:b/>
          <w:bCs/>
        </w:rPr>
        <w:t xml:space="preserve">Decision Log (XLS-004)</w:t>
      </w:r>
      <w:r>
        <w:t xml:space="preserve">.</w:t>
      </w:r>
    </w:p>
    <w:p>
      <w:pPr>
        <w:pStyle w:val="ListParagraph"/>
        <w:numPr>
          <w:ilvl w:val="0"/>
          <w:numId w:val="3"/>
        </w:numPr>
        <w:spacing w:after="40"/>
      </w:pPr>
      <w:r>
        <w:t xml:space="preserve">Decisões </w:t>
      </w:r>
      <w:r>
        <w:rPr>
          <w:b/>
          <w:bCs/>
        </w:rPr>
        <w:t xml:space="preserve">estruturantes de arquitetura</w:t>
      </w:r>
      <w:r>
        <w:t xml:space="preserve"> exigem </w:t>
      </w:r>
      <w:r>
        <w:rPr>
          <w:b/>
          <w:bCs/>
        </w:rPr>
        <w:t xml:space="preserve">ADR</w:t>
      </w:r>
      <w:r>
        <w:t xml:space="preserve"> com contexto, alternativas avaliadas, decisão, consequências e status.</w:t>
      </w:r>
    </w:p>
    <w:p>
      <w:pPr>
        <w:pStyle w:val="ListParagraph"/>
        <w:numPr>
          <w:ilvl w:val="0"/>
          <w:numId w:val="3"/>
        </w:numPr>
        <w:spacing w:after="40"/>
      </w:pPr>
      <w:r>
        <w:t xml:space="preserve">Questões sem resposta são registradas em </w:t>
      </w:r>
      <w:r>
        <w:rPr>
          <w:b/>
          <w:bCs/>
        </w:rPr>
        <w:t xml:space="preserve">Open Questions (XLS-003)</w:t>
      </w:r>
      <w:r>
        <w:t xml:space="preserve"> com responsável e impacto.</w:t>
      </w:r>
    </w:p>
    <w:p>
      <w:pPr>
        <w:pStyle w:val="ListParagraph"/>
        <w:numPr>
          <w:ilvl w:val="0"/>
          <w:numId w:val="3"/>
        </w:numPr>
        <w:spacing w:after="40"/>
      </w:pPr>
      <w:r>
        <w:t xml:space="preserve">Hipóteses assumidas são registradas em </w:t>
      </w:r>
      <w:r>
        <w:rPr>
          <w:b/>
          <w:bCs/>
        </w:rPr>
        <w:t xml:space="preserve">XLS-001</w:t>
      </w:r>
      <w:r>
        <w:t xml:space="preserve"> e nunca tratadas como requisito confirmado.</w:t>
      </w:r>
    </w:p>
    <w:p>
      <w:pPr>
        <w:pStyle w:val="ListParagraph"/>
        <w:numPr>
          <w:ilvl w:val="0"/>
          <w:numId w:val="3"/>
        </w:numPr>
        <w:spacing w:after="40"/>
      </w:pPr>
      <w:r>
        <w:t xml:space="preserve">Nenhum agente de desenvolvimento (Opus, Claude Code, GPT Codex) altera decisão estruturante sem identificar a decisão vigente, justificar, criar ou atualizar o ADR, avaliar impacto e obter aprovação.</w:t>
      </w:r>
    </w:p>
    <w:p>
      <w:pPr>
        <w:pStyle w:val="ListParagraph"/>
        <w:numPr>
          <w:ilvl w:val="0"/>
          <w:numId w:val="3"/>
        </w:numPr>
        <w:spacing w:after="40"/>
      </w:pPr>
      <w:r>
        <w:t xml:space="preserve">Mudança de escopo após aprovação do Charter segue registro formal de impacto em prazo, risco e dependências.</w:t>
      </w:r>
    </w:p>
    <w:p>
      <w:pPr>
        <w:pStyle w:val="Heading2"/>
      </w:pPr>
      <w:r>
        <w:t xml:space="preserve">32. Próximos passos</w:t>
      </w:r>
    </w:p>
    <w:p>
      <w:pPr>
        <w:pStyle w:val="ListParagraph"/>
        <w:numPr>
          <w:ilvl w:val="0"/>
          <w:numId w:val="3"/>
        </w:numPr>
        <w:spacing w:after="40"/>
      </w:pPr>
      <w:r>
        <w:t xml:space="preserve">Revisão formal deste Charter e dos demais artefatos da Fase 1 pela Services.NET.</w:t>
      </w:r>
    </w:p>
    <w:p>
      <w:pPr>
        <w:pStyle w:val="ListParagraph"/>
        <w:numPr>
          <w:ilvl w:val="0"/>
          <w:numId w:val="3"/>
        </w:numPr>
        <w:spacing w:after="40"/>
      </w:pPr>
      <w:r>
        <w:t xml:space="preserve">Designação de patrocinador e Product Owner.</w:t>
      </w:r>
    </w:p>
    <w:p>
      <w:pPr>
        <w:pStyle w:val="ListParagraph"/>
        <w:numPr>
          <w:ilvl w:val="0"/>
          <w:numId w:val="3"/>
        </w:numPr>
        <w:spacing w:after="40"/>
      </w:pPr>
      <w:r>
        <w:t xml:space="preserve">Confirmação do cliente-piloto e agendamento do levantamento da Fase 2.</w:t>
      </w:r>
    </w:p>
    <w:p>
      <w:pPr>
        <w:pStyle w:val="ListParagraph"/>
        <w:numPr>
          <w:ilvl w:val="0"/>
          <w:numId w:val="3"/>
        </w:numPr>
        <w:spacing w:after="40"/>
      </w:pPr>
      <w:r>
        <w:t xml:space="preserve">Solicitação de parecer jurídico sobre o referencial regulatório vigente e bases legais da LGPD.</w:t>
      </w:r>
    </w:p>
    <w:p>
      <w:pPr>
        <w:pStyle w:val="ListParagraph"/>
        <w:numPr>
          <w:ilvl w:val="0"/>
          <w:numId w:val="3"/>
        </w:numPr>
        <w:spacing w:after="40"/>
      </w:pPr>
      <w:r>
        <w:t xml:space="preserve">Solicitação de parecer de responsável técnico sobre periodicidades e parâmetros de manutenção.</w:t>
      </w:r>
    </w:p>
    <w:p>
      <w:pPr>
        <w:pStyle w:val="ListParagraph"/>
        <w:numPr>
          <w:ilvl w:val="0"/>
          <w:numId w:val="3"/>
        </w:numPr>
        <w:spacing w:after="40"/>
      </w:pPr>
      <w:r>
        <w:t xml:space="preserve">Aquisição legítima das normas técnicas aplicáveis.</w:t>
      </w:r>
    </w:p>
    <w:p>
      <w:pPr>
        <w:pStyle w:val="ListParagraph"/>
        <w:numPr>
          <w:ilvl w:val="0"/>
          <w:numId w:val="3"/>
        </w:numPr>
        <w:spacing w:after="40"/>
      </w:pPr>
      <w:r>
        <w:t xml:space="preserve">Fechamento das questões abertas classificadas como bloqueantes.</w:t>
      </w:r>
    </w:p>
    <w:p>
      <w:pPr>
        <w:pStyle w:val="ListParagraph"/>
        <w:numPr>
          <w:ilvl w:val="0"/>
          <w:numId w:val="3"/>
        </w:numPr>
        <w:spacing w:after="40"/>
      </w:pPr>
      <w:r>
        <w:t xml:space="preserve">Aprovação formal para início da Fase 2 — Levantamento de requisitos e regras do PMOC.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Services.NET — DOC-001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PMOC Software | Fase 1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MACIEL LIMA DE JESUS, ALAN</dc:creator>
  <lastModifiedBy>MACIEL LIMA DE JESUS, ALAN</lastModifiedBy>
  <revision>1</revision>
  <dcterms:created xsi:type="dcterms:W3CDTF">2026-09-22T17:31:47.3767265Z</dcterms:created>
  <dcterms:modified xsi:type="dcterms:W3CDTF">2026-09-22T17:31:47.3767265Z</dcterms:modified>
</coreProperties>
</file>

<file path=docProps/custom.xml><?xml version="1.0" encoding="utf-8"?>
<Properties xmlns="http://schemas.openxmlformats.org/officeDocument/2006/custom-properties" xmlns:vt="http://schemas.openxmlformats.org/officeDocument/2006/docPropsVTypes"/>
</file>