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DOC-002 — Product Vision and Product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Identificador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DOC-002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Versão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0.1 (DRAFT)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Data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22/09/2026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1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Organização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Services.NET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Status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Aguardando revisão formal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Fonte autoritativa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Microsoft 365 (este documento)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 Declaração de visão</w:t>
      </w:r>
    </w:p>
    <w:p>
      <w:pPr>
        <w:spacing w:after="120"/>
        <w:jc w:val="both"/>
      </w:pPr>
      <w:r>
        <w:t xml:space="preserve">Uma plataforma na qual </w:t>
      </w:r>
      <w:r>
        <w:rPr>
          <w:b/>
          <w:bCs/>
        </w:rPr>
        <w:t xml:space="preserve">a operação executada é a própria evidência de conformidade</w:t>
      </w:r>
      <w:r>
        <w:t xml:space="preserve">: cada manutenção planejada, executada e registrada alimenta, sem retrabalho documental, o histórico do ativo, a trilha de auditoria e a comprovação regulatória exigível do cliente final.</w:t>
      </w:r>
    </w:p>
    <w:p>
      <w:pPr>
        <w:pStyle w:val="Heading2"/>
      </w:pPr>
      <w:r>
        <w:t xml:space="preserve">2. Vision Statement estruturado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Para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Empresas prestadoras de serviços de climatização, refrigeração e manutenção HVAC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Que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Precisam planejar, executar e comprovar manutenção de sistemas de climatização de terceiros sob exigência regulatória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 plataforma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É um sistema de gestão de manutenção, ativos, operações de campo e conformidade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Que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Converte a execução diária em registro rastreável, evidência probatória e documentação regulatória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Diferente de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Planilhas, documentos avulsos e ferramentas que apenas preenchem formulários de PMOC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Nosso produto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Trata o ativo como entidade de primeira classe e a regra regulatória como dado versionado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 O que o produto é e o que não 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produto é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produto não é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Plataforma de gestão de manutenção e ativos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Gerador de formulário PMOC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Sistema de registro de operações de campo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Aplicativo de checklist isolado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Base probatória auditável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Repositório de arquivos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Motor de conformidade parametrizável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Código com regras legais embutidas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Produto multi-tenant padronizado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Customização sob medida por cliente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Fonte de indicadores operacionais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Ferramenta de BI genérica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 Princípios de produto</w:t>
      </w:r>
    </w:p>
    <w:p>
      <w:pPr>
        <w:pStyle w:val="Heading3"/>
      </w:pPr>
      <w:r>
        <w:t xml:space="preserve">PP-01 — Ativo antes do documento</w:t>
      </w:r>
    </w:p>
    <w:p>
      <w:pPr>
        <w:spacing w:after="120"/>
        <w:jc w:val="both"/>
      </w:pPr>
      <w:r>
        <w:t xml:space="preserve">O objeto central é o ativo físico e seu histórico. O documento PMOC é uma projeção do estado dos ativos e do plano, nunca a origem do dado.</w:t>
      </w:r>
    </w:p>
    <w:p>
      <w:pPr>
        <w:pStyle w:val="Heading3"/>
      </w:pPr>
      <w:r>
        <w:t xml:space="preserve">PP-02 — Conformidade como dado</w:t>
      </w:r>
    </w:p>
    <w:p>
      <w:pPr>
        <w:spacing w:after="120"/>
        <w:jc w:val="both"/>
      </w:pPr>
      <w:r>
        <w:t xml:space="preserve">Normas, requisitos, periodicidades, parâmetros e checklists são dados versionados, com origem, autoridade e vigência. Nenhuma regra mutável no código.</w:t>
      </w:r>
    </w:p>
    <w:p>
      <w:pPr>
        <w:pStyle w:val="Heading3"/>
      </w:pPr>
      <w:r>
        <w:t xml:space="preserve">PP-03 — Evidência vinculada</w:t>
      </w:r>
    </w:p>
    <w:p>
      <w:pPr>
        <w:spacing w:after="120"/>
        <w:jc w:val="both"/>
      </w:pPr>
      <w:r>
        <w:t xml:space="preserve">Toda evidência (foto, medição, checklist, assinatura, documento) nasce vinculada a ativo, ordem de serviço, responsável e instante. Evidência sem vínculo não tem valor probatório.</w:t>
      </w:r>
    </w:p>
    <w:p>
      <w:pPr>
        <w:pStyle w:val="Heading3"/>
      </w:pPr>
      <w:r>
        <w:t xml:space="preserve">PP-04 — Rastreabilidade por padrão</w:t>
      </w:r>
    </w:p>
    <w:p>
      <w:pPr>
        <w:spacing w:after="120"/>
        <w:jc w:val="both"/>
      </w:pPr>
      <w:r>
        <w:t xml:space="preserve">Toda alteração relevante de negócio produz trilha: quem, o quê, quando, de onde, estado anterior e posterior.</w:t>
      </w:r>
    </w:p>
    <w:p>
      <w:pPr>
        <w:pStyle w:val="Heading3"/>
      </w:pPr>
      <w:r>
        <w:t xml:space="preserve">PP-05 — Contrato antes da tela</w:t>
      </w:r>
    </w:p>
    <w:p>
      <w:pPr>
        <w:spacing w:after="120"/>
        <w:jc w:val="both"/>
      </w:pPr>
      <w:r>
        <w:t xml:space="preserve">A API é o contrato do produto. A interface é um consumidor entre outros.</w:t>
      </w:r>
    </w:p>
    <w:p>
      <w:pPr>
        <w:pStyle w:val="Heading3"/>
      </w:pPr>
      <w:r>
        <w:t xml:space="preserve">PP-06 — Campo em primeiro lugar na experiência</w:t>
      </w:r>
    </w:p>
    <w:p>
      <w:pPr>
        <w:spacing w:after="120"/>
        <w:jc w:val="both"/>
      </w:pPr>
      <w:r>
        <w:t xml:space="preserve">A experiência do técnico em campo — condições adversas, pressa, conectividade instável — define a ergonomia das telas operacionais.</w:t>
      </w:r>
    </w:p>
    <w:p>
      <w:pPr>
        <w:pStyle w:val="Heading3"/>
      </w:pPr>
      <w:r>
        <w:t xml:space="preserve">PP-07 — Configuração acima de código</w:t>
      </w:r>
    </w:p>
    <w:p>
      <w:pPr>
        <w:spacing w:after="120"/>
        <w:jc w:val="both"/>
      </w:pPr>
      <w:r>
        <w:t xml:space="preserve">Diferenças entre clientes, contratos e tipos de equipamento são resolvidas por configuração versionada, não por ramificações de código.</w:t>
      </w:r>
    </w:p>
    <w:p>
      <w:pPr>
        <w:pStyle w:val="Heading3"/>
      </w:pPr>
      <w:r>
        <w:t xml:space="preserve">PP-08 — Isolamento inegociável</w:t>
      </w:r>
    </w:p>
    <w:p>
      <w:pPr>
        <w:spacing w:after="120"/>
        <w:jc w:val="both"/>
      </w:pPr>
      <w:r>
        <w:t xml:space="preserve">Nenhuma funcionalidade, otimização ou conveniência pode comprometer a segregação entre tenants.</w:t>
      </w:r>
    </w:p>
    <w:p>
      <w:pPr>
        <w:pStyle w:val="Heading3"/>
      </w:pPr>
      <w:r>
        <w:t xml:space="preserve">PP-09 — Incerteza explícita</w:t>
      </w:r>
    </w:p>
    <w:p>
      <w:pPr>
        <w:spacing w:after="120"/>
        <w:jc w:val="both"/>
      </w:pPr>
      <w:r>
        <w:t xml:space="preserve">O que não se sabe é registrado como hipótese ou questão aberta. Nunca preenchido por suposição plausível.</w:t>
      </w:r>
    </w:p>
    <w:p>
      <w:pPr>
        <w:pStyle w:val="Heading3"/>
      </w:pPr>
      <w:r>
        <w:t xml:space="preserve">PP-10 — Simplicidade defensável</w:t>
      </w:r>
    </w:p>
    <w:p>
      <w:pPr>
        <w:spacing w:after="120"/>
        <w:jc w:val="both"/>
      </w:pPr>
      <w:r>
        <w:t xml:space="preserve">Complexidade arquitetural só entra no sistema com justificativa objetiva e registrada.</w:t>
      </w:r>
    </w:p>
    <w:p>
      <w:pPr>
        <w:pStyle w:val="Heading3"/>
      </w:pPr>
      <w:r>
        <w:t xml:space="preserve">PP-11 — Preparado para evoluir, não pré-construído</w:t>
      </w:r>
    </w:p>
    <w:p>
      <w:pPr>
        <w:spacing w:after="120"/>
        <w:jc w:val="both"/>
      </w:pPr>
      <w:r>
        <w:t xml:space="preserve">Mobile, offline, IoT e IA são antecipados em contratos, identificadores e modelos de dados — não implementados antecipadamente.</w:t>
      </w:r>
    </w:p>
    <w:p>
      <w:pPr>
        <w:pStyle w:val="Heading3"/>
      </w:pPr>
      <w:r>
        <w:t xml:space="preserve">PP-12 — Dados do cliente pertencem ao cliente</w:t>
      </w:r>
    </w:p>
    <w:p>
      <w:pPr>
        <w:spacing w:after="120"/>
        <w:jc w:val="both"/>
      </w:pPr>
      <w:r>
        <w:t xml:space="preserve">Portabilidade, exportação e limites de retenção são requisitos de produto, não concessões.</w:t>
      </w:r>
    </w:p>
    <w:p>
      <w:pPr>
        <w:pStyle w:val="Heading2"/>
      </w:pPr>
      <w:r>
        <w:t xml:space="preserve">5. Princípios de engenharia derivados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Princípio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Implicação prática imediata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PE-01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API First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OpenAPI versionado como artefato de primeira classe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PE-02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Multi-tenant por construção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TenantId</w:t>
            </w:r>
            <w:r>
              <w:t xml:space="preserve"> obrigatório; consulta sem escopo é erro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PE-03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Idempotência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Operações de escrita sensíveis aceitam chave de idempotência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PE-04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Identificadores opacos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Sem sequenciais expostos; UUIDv7 ou equivalente sob ADR-002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PE-05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Auditabilidade nativa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Trilha de negócio separada de log técnico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PE-06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Modularidade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Módulos com fronteiras explícitas e dependências declaradas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PE-07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Migração controlada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Toda mudança de esquema versionada e reversível quando viável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PE-08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Observabilidade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Correlation ID propagado ponta a ponta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PE-09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Segurança verificada no servidor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Nenhuma autorização confiada ao cliente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PE-10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Documentação viva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Documento desatualizado é defeito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 Tensões reconhecidas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Tensão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Posição atual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Onde será resolvida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Riqueza funcional × entrega do MVP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Privilegiar ciclo completo e raso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DOC-007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Flexibilidade de configuração × simplicidade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Configurar apenas o que varia comprovadamente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2/3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Isolamento forte × custo operacional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Decisão pendente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ADR-001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Offline × consistência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Preparar contratos, adiar implementação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ADR-002 / Fase 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Fidelidade regulatória × incerteza jurídica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Modelar como dado, não como certeza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 Antipadrões que o produto deve evitar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Campos livres substituindo modelagem de domínio.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Relatório como funcionalidade isolada, desconectado do dado operacional.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Regra legal codificada em condicional dentro da aplicação.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Upload de imagem sem vínculo semântico.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Permissão implícita por perfil de usuário sem verificação por recurso.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Exceção operacional resolvida por acesso direto ao banco de dados.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Services.NET — DOC-002  |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PMOC Software | Fase 1 | v0.1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MACIEL LIMA DE JESUS, ALAN</dc:creator>
  <lastModifiedBy>MACIEL LIMA DE JESUS, ALAN</lastModifiedBy>
  <revision>1</revision>
  <dcterms:created xsi:type="dcterms:W3CDTF">2026-09-22T17:31:49.3330659Z</dcterms:created>
  <dcterms:modified xsi:type="dcterms:W3CDTF">2026-09-22T17:31:49.3330659Z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