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DOC-001 — PMOC Software — Product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Software — Product Charter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Projeto de engenharia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Software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0.2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 (baseline histórica, preservada)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 desta revisão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Services.NET Phase 1 Audit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 — Product Charter e Escopo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Organização responsável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Opus (agente de análise, arquitetura e documentação)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Aguardando segunda revisão formal da 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pai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Software — Product &amp; Engineering Master Specification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Aviso de natureza do documento.</w:t>
      </w:r>
      <w:r>
        <w:t xml:space="preserve"> Este Charter consolida a intenção de produto conhecida nesta data. Itens não confirmados pela Services.NET ou pelo cliente-piloto estão registrados explicitamente como </w:t>
      </w:r>
      <w:r>
        <w:rPr>
          <w:b/>
          <w:bCs/>
        </w:rPr>
        <w:t xml:space="preserve">hipótese (ASM-###)</w:t>
      </w:r>
      <w:r>
        <w:t xml:space="preserve"> ou </w:t>
      </w:r>
      <w:r>
        <w:rPr>
          <w:b/>
          <w:bCs/>
        </w:rPr>
        <w:t xml:space="preserve">questão aberta (OQ-###)</w:t>
      </w:r>
      <w:r>
        <w:t xml:space="preserve"> e não constituem requisito aprovado. A aceitação da auditoria da Fase 1 pela Services.NET </w:t>
      </w:r>
      <w:r>
        <w:rPr>
          <w:b/>
          <w:bCs/>
        </w:rPr>
        <w:t xml:space="preserve">não converte</w:t>
      </w:r>
      <w:r>
        <w:t xml:space="preserve"> as decisões propostas (DEC-001 a DEC-010) em decisões definitivas.</w:t>
      </w:r>
    </w:p>
    <w:p>
      <w:pPr>
        <w:pStyle w:val="Heading2"/>
      </w:pPr>
      <w: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Nome do projeto de engenharia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Software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Nome comercial do produto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Não definido.</w:t>
            </w:r>
            <w:r>
              <w:t xml:space="preserve"> Não será arbitrado nesta fase (ver OQ-001)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Descrição conceitual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 de Gestão de Manutenção, Ativos e Conformidade para Sistemas de Climatização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Domínio regulatório inicial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— Plano de Manutenção, Operação e Controle (Brasil)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entrega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SaaS multi-tenant, Web First, API First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atual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Concepção — Fase 1 de 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Patrocinador</w:t>
      </w:r>
    </w:p>
    <w:p>
      <w:pPr>
        <w:spacing w:after="120"/>
        <w:jc w:val="both"/>
      </w:pPr>
      <w:r>
        <w:t xml:space="preserve">O patrocínio executivo do projeto é atribuído à Services.NET. A pessoa física ou papel formal que exerce o patrocínio (</w:t>
      </w:r>
      <w:r>
        <w:rPr>
          <w:b/>
          <w:bCs/>
        </w:rPr>
        <w:t xml:space="preserve">Sponsor</w:t>
      </w:r>
      <w:r>
        <w:t xml:space="preserve">), com autoridade sobre orçamento, priorização e aprovação de marcos, </w:t>
      </w:r>
      <w:r>
        <w:rPr>
          <w:b/>
          <w:bCs/>
        </w:rPr>
        <w:t xml:space="preserve">ainda não foi informado</w:t>
      </w:r>
      <w:r>
        <w:t xml:space="preserve"> e deve ser preenchido antes do encerramento da Fase 1 (OQ-002).</w:t>
      </w:r>
    </w:p>
    <w:p>
      <w:pPr>
        <w:pStyle w:val="Heading2"/>
      </w:pPr>
      <w:r>
        <w:t xml:space="preserve">3. Proprietário do produto</w:t>
      </w:r>
    </w:p>
    <w:p>
      <w:pPr>
        <w:spacing w:after="120"/>
        <w:jc w:val="both"/>
      </w:pPr>
      <w:r>
        <w:t xml:space="preserve">O papel de </w:t>
      </w:r>
      <w:r>
        <w:rPr>
          <w:b/>
          <w:bCs/>
        </w:rPr>
        <w:t xml:space="preserve">Product Owner</w:t>
      </w:r>
      <w:r>
        <w:t xml:space="preserve"> — responsável por priorização de backlog, aceite funcional e decisão de escopo — </w:t>
      </w:r>
      <w:r>
        <w:rPr>
          <w:b/>
          <w:bCs/>
        </w:rPr>
        <w:t xml:space="preserve">ainda não foi designado</w:t>
      </w:r>
      <w:r>
        <w:t xml:space="preserve"> (OQ-003). Enquanto não designado, decisões de escopo permanecem pendentes e são registradas no Decision Log (XLS-004) com status </w:t>
      </w:r>
      <w:r>
        <w:rPr>
          <w:rFonts w:ascii="Consolas" w:cs="Consolas" w:eastAsia="Consolas" w:hAnsi="Consolas"/>
          <w:sz w:val="20"/>
          <w:szCs w:val="20"/>
        </w:rPr>
        <w:t xml:space="preserve">Proposta</w:t>
      </w:r>
      <w:r>
        <w:t xml:space="preserve">.</w:t>
      </w:r>
    </w:p>
    <w:p>
      <w:pPr>
        <w:pStyle w:val="Heading2"/>
      </w:pPr>
      <w:r>
        <w:t xml:space="preserve">4. Organização responsável</w:t>
      </w:r>
    </w:p>
    <w:p>
      <w:pPr>
        <w:spacing w:after="120"/>
        <w:jc w:val="both"/>
      </w:pPr>
      <w:r>
        <w:t xml:space="preserve">A </w:t>
      </w:r>
      <w:r>
        <w:rPr>
          <w:b/>
          <w:bCs/>
        </w:rPr>
        <w:t xml:space="preserve">Services.NET</w:t>
      </w:r>
      <w:r>
        <w:t xml:space="preserve"> atua no desenvolvimento, implantação, gerenciamento e modernização de soluções de tecnologia. Neste projeto, a Services.NET é simultaneamente: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fornecedora da engenharia de software;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operadora da plataforma SaaS (hipótese ASM-002, a confirmar quanto a responsabilidade de operação e SLA);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responsável pela governança técnica, pelas decisões arquiteturais (ADRs) e pela documentação.</w:t>
      </w:r>
    </w:p>
    <w:p>
      <w:pPr>
        <w:pStyle w:val="Heading2"/>
      </w:pPr>
      <w:r>
        <w:t xml:space="preserve">5. Contexto</w:t>
      </w:r>
    </w:p>
    <w:p>
      <w:pPr>
        <w:spacing w:after="120"/>
        <w:jc w:val="both"/>
      </w:pPr>
      <w:r>
        <w:t xml:space="preserve">Empresas prestadoras de serviços de climatização, refrigeração e manutenção de sistemas HVAC operam um ciclo que vai da carteira de clientes até a comprovação documental de conformidade. Esse ciclo envolve </w:t>
      </w:r>
      <w:r>
        <w:rPr>
          <w:b/>
          <w:bCs/>
        </w:rPr>
        <w:t xml:space="preserve">clientes da prestadora</w:t>
      </w:r>
      <w:r>
        <w:t xml:space="preserve">, </w:t>
      </w:r>
      <w:r>
        <w:rPr>
          <w:b/>
          <w:bCs/>
        </w:rPr>
        <w:t xml:space="preserve">unidades</w:t>
      </w:r>
      <w:r>
        <w:t xml:space="preserve">, </w:t>
      </w:r>
      <w:r>
        <w:rPr>
          <w:b/>
          <w:bCs/>
        </w:rPr>
        <w:t xml:space="preserve">ambientes</w:t>
      </w:r>
      <w:r>
        <w:t xml:space="preserve">, </w:t>
      </w:r>
      <w:r>
        <w:rPr>
          <w:b/>
          <w:bCs/>
        </w:rPr>
        <w:t xml:space="preserve">sistemas HVAC</w:t>
      </w:r>
      <w:r>
        <w:t xml:space="preserve">, </w:t>
      </w:r>
      <w:r>
        <w:rPr>
          <w:b/>
          <w:bCs/>
        </w:rPr>
        <w:t xml:space="preserve">equipamentos</w:t>
      </w:r>
      <w:r>
        <w:t xml:space="preserve">, componentes, planos de manutenção, cronogramas, </w:t>
      </w:r>
      <w:r>
        <w:rPr>
          <w:b/>
          <w:bCs/>
        </w:rPr>
        <w:t xml:space="preserve">ordens de serviço (OS)</w:t>
      </w:r>
      <w:r>
        <w:t xml:space="preserve">, execução em campo, checklists, medições, </w:t>
      </w:r>
      <w:r>
        <w:rPr>
          <w:b/>
          <w:bCs/>
        </w:rPr>
        <w:t xml:space="preserve">evidências</w:t>
      </w:r>
      <w:r>
        <w:t xml:space="preserve">, </w:t>
      </w:r>
      <w:r>
        <w:rPr>
          <w:b/>
          <w:bCs/>
        </w:rPr>
        <w:t xml:space="preserve">não conformidades</w:t>
      </w:r>
      <w:r>
        <w:t xml:space="preserve">, ações corretivas, histórico, indicadores, relatórios e auditoria.</w:t>
      </w:r>
    </w:p>
    <w:p>
      <w:pPr>
        <w:spacing w:after="120"/>
        <w:jc w:val="both"/>
      </w:pPr>
      <w:r>
        <w:t xml:space="preserve">Grande parte desse ciclo é hoje conduzida, no mercado-alvo típico, com planilhas, documentos avulsos, mensageria informal e arquivos de fotos sem vínculo estruturado com o </w:t>
      </w:r>
      <w:r>
        <w:rPr>
          <w:b/>
          <w:bCs/>
        </w:rPr>
        <w:t xml:space="preserve">ativo</w:t>
      </w:r>
      <w:r>
        <w:t xml:space="preserve"> ou com o </w:t>
      </w:r>
      <w:r>
        <w:rPr>
          <w:b/>
          <w:bCs/>
        </w:rPr>
        <w:t xml:space="preserve">requisito regulatório</w:t>
      </w:r>
      <w:r>
        <w:t xml:space="preserve"> correspondente (ASM-003 — caracterização do cenário atual ainda não validada por pesquisa formal com o cliente-piloto).</w:t>
      </w:r>
    </w:p>
    <w:p>
      <w:pPr>
        <w:pStyle w:val="Heading3"/>
      </w:pPr>
      <w:r>
        <w:t xml:space="preserve">5.1 Matriz regulatória preliminar</w:t>
      </w:r>
    </w:p>
    <w:p>
      <w:pPr>
        <w:spacing w:after="120"/>
        <w:jc w:val="both"/>
      </w:pPr>
      <w:r>
        <w:t xml:space="preserve">O domínio possui componente regulatório relevante e </w:t>
      </w:r>
      <w:r>
        <w:rPr>
          <w:b/>
          <w:bCs/>
        </w:rPr>
        <w:t xml:space="preserve">mutável</w:t>
      </w:r>
      <w:r>
        <w:t xml:space="preserve">. Esta matriz é </w:t>
      </w:r>
      <w:r>
        <w:rPr>
          <w:b/>
          <w:bCs/>
        </w:rPr>
        <w:t xml:space="preserve">preliminar</w:t>
      </w:r>
      <w:r>
        <w:t xml:space="preserve"> e não substitui a matriz regulatória oficial do produto, a ser construída na Fase 2 com validação jurídica e de responsável técnico.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Órgão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Natureza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 registrada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da consulta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Lei nº 13.589/2018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Congresso Nacional / Presidência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Lei federal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Publicada; exige PMOC para edifícios de uso público e coletivo com ambientes de ar interior climatizado artificialmente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Portaria GM/MS nº 3.523/1998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Ministério da Saúde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Regulamento técnico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Disponível em fontes oficiais; referenciada em documentação regulatória posterior; há fortes evidências de aplicação atual. </w:t>
            </w:r>
            <w:r>
              <w:rPr>
                <w:b/>
                <w:bCs/>
              </w:rPr>
              <w:t xml:space="preserve">Vigência jurídica formal não declarada</w:t>
            </w:r>
            <w:r>
              <w:t xml:space="preserve"> (OQ-012)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RE/ANVISA nº 9/2003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ANVISA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Resolução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Revogada</w:t>
            </w:r>
            <w:r>
              <w:t xml:space="preserve"> pela RDC/ANVISA nº 886, de 10/07/2024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RDC/ANVISA nº 886/2024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ANVISA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Resolução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Instrumento de revogação expressa do ciclo 2023–2024 de consolidação normativa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ABNT NBR 17037</w:t>
            </w:r>
            <w:r>
              <w:t xml:space="preserve"> — Qualidade do ar interior em ambientes não residenciais climatizados artificialmente — Padrões referenciais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ABNT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Norma técnica</w:t>
            </w:r>
            <w:r>
              <w:t xml:space="preserve"> (protegida por direito autoral)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Norma vigente no catálogo da ABNT (primeira edição 04/2023; edição posterior 10/2024 incorporando errata). Indicada como referência para qualidade do ar interior após a revogação da RE nº 9/2003, conforme orientação oficial da ANVISA de 2025 informada pela auditoria da Services.NET. </w:t>
            </w:r>
            <w:r>
              <w:rPr>
                <w:b/>
                <w:bCs/>
              </w:rPr>
              <w:t xml:space="preserve">Conteúdo não reproduzível</w:t>
            </w:r>
            <w:r>
              <w:t xml:space="preserve">; edição aplicável e extensão da aplicabilidade a confirmar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5.2 Natureza jurídica da ABNT NBR 17037 — tratamento obrigatório</w:t>
      </w:r>
    </w:p>
    <w:p>
      <w:pPr>
        <w:spacing w:after="120"/>
        <w:jc w:val="both"/>
      </w:pPr>
      <w:r>
        <w:t xml:space="preserve">A ABNT NBR 17037 é </w:t>
      </w:r>
      <w:r>
        <w:rPr>
          <w:b/>
          <w:bCs/>
        </w:rPr>
        <w:t xml:space="preserve">norma técnica</w:t>
      </w:r>
      <w:r>
        <w:t xml:space="preserve">, não lei, portaria ou resolução. A plataforma </w:t>
      </w:r>
      <w:r>
        <w:rPr>
          <w:b/>
          <w:bCs/>
        </w:rPr>
        <w:t xml:space="preserve">não</w:t>
      </w:r>
      <w:r>
        <w:t xml:space="preserve"> declarará que ela possui automaticamente o mesmo status jurídico desses instrumentos. O que está registrado é: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existência de orientação oficial indicando seu uso como referência para qualidade do ar interior após a revogação da RE nº 9/2003;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sua natureza de norma técnica publicada pela ABNT;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necessidade de </w:t>
      </w:r>
      <w:r>
        <w:rPr>
          <w:b/>
          <w:bCs/>
        </w:rPr>
        <w:t xml:space="preserve">aquisição legítima</w:t>
      </w:r>
      <w:r>
        <w:t xml:space="preserve"> da norma para consulta interna (DEP-003);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necessidade de </w:t>
      </w:r>
      <w:r>
        <w:rPr>
          <w:b/>
          <w:bCs/>
        </w:rPr>
        <w:t xml:space="preserve">validação jurídica e de responsável técnico</w:t>
      </w:r>
      <w:r>
        <w:t xml:space="preserve"> quanto à extensão da sua aplicabilidade ao produto e a cada requisito derivado (OQ-004);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necessidade de registrar a </w:t>
      </w:r>
      <w:r>
        <w:rPr>
          <w:b/>
          <w:bCs/>
        </w:rPr>
        <w:t xml:space="preserve">referência oficial exata</w:t>
      </w:r>
      <w:r>
        <w:t xml:space="preserve"> (documento, URL e data) na matriz regulatória do produto (OQ-019).</w:t>
      </w:r>
    </w:p>
    <w:p>
      <w:pPr>
        <w:spacing w:after="120"/>
        <w:jc w:val="both"/>
      </w:pPr>
      <w:r>
        <w:t xml:space="preserve">Parâmetros, faixas, limites e periodicidades derivados dessa norma </w:t>
      </w:r>
      <w:r>
        <w:rPr>
          <w:b/>
          <w:bCs/>
        </w:rPr>
        <w:t xml:space="preserve">não foram carregados</w:t>
      </w:r>
      <w:r>
        <w:t xml:space="preserve"> nesta fase e não o serão sem validação (ver §9 e DOC-006/CAP-033).</w:t>
      </w:r>
    </w:p>
    <w:p>
      <w:pPr>
        <w:pStyle w:val="Heading3"/>
      </w:pPr>
      <w:r>
        <w:t xml:space="preserve">5.3 Distinção de regras: aplicabilidade do PMOC × exigência de responsável técnico</w:t>
      </w:r>
    </w:p>
    <w:p>
      <w:pPr>
        <w:spacing w:after="120"/>
        <w:jc w:val="both"/>
      </w:pPr>
      <w:r>
        <w:t xml:space="preserve">A documentação deixa de tratar o limite de capacidade como uma divergência única sobre "PMOC obrigatório acima ou abaixo de 60.000 BTU/h". São </w:t>
      </w:r>
      <w:r>
        <w:rPr>
          <w:b/>
          <w:bCs/>
        </w:rPr>
        <w:t xml:space="preserve">regras conceitualmente distintas</w:t>
      </w:r>
      <w:r>
        <w:t xml:space="preserve">, que serão modeladas separadamente: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Objeto da regra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Instrumento relacionado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 de modelagem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Regra A — Aplicabilidade do PMOC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Determina se uma unidade, ambiente ou sistema HVAC está sujeito à obrigação de possuir PMOC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Lei nº 13.589/2018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Critérios a validar na Fase 2 (OQ-021)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Regra B — Exigência de responsável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Determina quando a execução/responsabilidade técnica exige profissional habilitado, associada a limite de capacidade previsto no instrumento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Portaria GM/MS nº 3.523/1998 e limite de capacidade nela previsto (5 TR / 60.000 BTU/h)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Artigo, redação e vigência a confirmar (OQ-012, OQ-021)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Regra de produto:</w:t>
      </w:r>
      <w:r>
        <w:t xml:space="preserve"> o limite de </w:t>
      </w:r>
      <w:r>
        <w:rPr>
          <w:b/>
          <w:bCs/>
        </w:rPr>
        <w:t xml:space="preserve">5 TR / 60.000 BTU/h não deve ser usado automaticamente como condição única para decidir a existência de PMOC</w:t>
      </w:r>
      <w:r>
        <w:t xml:space="preserve">. Ele é insumo da Regra B e só poderá integrar a Regra A se validação jurídica assim determinar. Ambas serão representadas como </w:t>
      </w:r>
      <w:r>
        <w:rPr>
          <w:rFonts w:ascii="Consolas" w:cs="Consolas" w:eastAsia="Consolas" w:hAnsi="Consolas"/>
          <w:sz w:val="20"/>
          <w:szCs w:val="20"/>
        </w:rPr>
        <w:t xml:space="preserve">ApplicabilityRule</w:t>
      </w:r>
      <w:r>
        <w:t xml:space="preserve"> distintas no modelo de Compliance as Data (§9), sem qualquer valor carregado nesta fase.</w:t>
      </w:r>
    </w:p>
    <w:p>
      <w:pPr>
        <w:pStyle w:val="Heading2"/>
      </w:pPr>
      <w:r>
        <w:t xml:space="preserve">6.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observado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 de ativos de climatização disperso e desatualizado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Impossibilidade de planejar manutenção com base em realidade física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Planos e cronogramas mantidos fora de um sistema de registro único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Perda de periodicidade, atrasos e retrabalho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Execução de campo registrada em papel, mensageria ou memória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 confiabilidade do histórico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Evidências desvinculadas do ativo e do requisito regulatório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Dificuldade de comprovação perante fiscalização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 regulatórias embutidas em documentos estáticos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Defasagem silenciosa quando a norma muda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Ausência de indicadores operacionais confiáveis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Gestão reativa; margem e produtividade desconhecidas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PRB-007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Rastreabilidade insuficiente de quem fez o quê, quando e com qual resultado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Risco jurídico, sanitário e contratual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A revogação da RE/ANVISA nº 9/2003 e a transição da referência técnica de qualidade do ar são um </w:t>
      </w:r>
      <w:r>
        <w:rPr>
          <w:b/>
          <w:bCs/>
        </w:rPr>
        <w:t xml:space="preserve">caso concreto de PRB-005</w:t>
      </w:r>
      <w:r>
        <w:t xml:space="preserve">: documentos que citam a norma revogada tornaram-se desatualizados sem qualquer sinalização automática.</w:t>
      </w:r>
    </w:p>
    <w:p>
      <w:pPr>
        <w:pStyle w:val="Heading2"/>
      </w:pPr>
      <w:r>
        <w:t xml:space="preserve">7. Oportunidade</w:t>
      </w:r>
    </w:p>
    <w:p>
      <w:pPr>
        <w:spacing w:after="120"/>
        <w:jc w:val="both"/>
      </w:pPr>
      <w:r>
        <w:t xml:space="preserve">Consolidar, em uma plataforma única, o ciclo operacional e probatório da prestadora de serviços de climatização, transformando a conformidade regulatória de um esforço documental episódico em um </w:t>
      </w:r>
      <w:r>
        <w:rPr>
          <w:b/>
          <w:bCs/>
        </w:rPr>
        <w:t xml:space="preserve">subproduto natural da operação diária registrada</w:t>
      </w:r>
      <w:r>
        <w:t xml:space="preserve">. A oportunidade adicional é arquitetural: tratar requisitos regulatórios como </w:t>
      </w:r>
      <w:r>
        <w:rPr>
          <w:b/>
          <w:bCs/>
        </w:rPr>
        <w:t xml:space="preserve">dado versionado</w:t>
      </w:r>
      <w:r>
        <w:t xml:space="preserve"> permite absorver mudanças normativas — como a ocorrida com a RE nº 9/2003 — sem reconstrução do sistema.</w:t>
      </w:r>
    </w:p>
    <w:p>
      <w:pPr>
        <w:pStyle w:val="Heading2"/>
      </w:pPr>
      <w:r>
        <w:t xml:space="preserve">8. Visão</w:t>
      </w:r>
    </w:p>
    <w:p>
      <w:pPr>
        <w:spacing w:after="120"/>
        <w:jc w:val="both"/>
      </w:pPr>
      <w:r>
        <w:t xml:space="preserve">Uma plataforma de gestão de manutenção, ativos, operações de campo e conformidade na qual cada intervenção executada produz evidência rastreável, cada ativo possui histórico íntegro e cada requisito regulatório é representado como dado versionado, verificável e auditável.</w:t>
      </w:r>
    </w:p>
    <w:p>
      <w:pPr>
        <w:pStyle w:val="Heading2"/>
      </w:pPr>
      <w:r>
        <w:t xml:space="preserve">9. Missão do produto</w:t>
      </w:r>
    </w:p>
    <w:p>
      <w:pPr>
        <w:spacing w:after="120"/>
        <w:jc w:val="both"/>
      </w:pPr>
      <w:r>
        <w:t xml:space="preserve">Permitir que prestadoras de serviços de climatização planejem, executem, comprovem e analisem a manutenção dos sistemas HVAC de seus clientes com rastreabilidade integral, segurança e conformidade demonstrável.</w:t>
      </w:r>
    </w:p>
    <w:p>
      <w:pPr>
        <w:pStyle w:val="Heading3"/>
      </w:pPr>
      <w:r>
        <w:t xml:space="preserve">9.1 Compliance as Data — consequências desta revisão</w:t>
      </w:r>
    </w:p>
    <w:p>
      <w:pPr>
        <w:spacing w:after="120"/>
        <w:jc w:val="both"/>
      </w:pPr>
      <w:r>
        <w:t xml:space="preserve">O princípio de Compliance as Data é reafirmado e recebe três esclarecimentos decorrentes da auditoria: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Regras de aplicabilidade são múltiplas e distintas.</w:t>
      </w:r>
      <w:r>
        <w:t xml:space="preserve"> Devem existir </w:t>
      </w:r>
      <w:r>
        <w:rPr>
          <w:rFonts w:ascii="Consolas" w:cs="Consolas" w:eastAsia="Consolas" w:hAnsi="Consolas"/>
          <w:sz w:val="20"/>
          <w:szCs w:val="20"/>
        </w:rPr>
        <w:t xml:space="preserve">ApplicabilityRule</w:t>
      </w:r>
      <w:r>
        <w:t xml:space="preserve"> separadas por objeto de regulação (por exemplo, obrigação de PMOC × exigência de responsável técnico), cada uma com sua própria condição, instrumento de origem e vigência.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Capacidade estrutural ≠ conteúdo regulatório.</w:t>
      </w:r>
      <w:r>
        <w:t xml:space="preserve"> A capacidade de cadastrar, versionar, datar e referenciar parâmetros é decisão de engenharia. Os </w:t>
      </w:r>
      <w:r>
        <w:rPr>
          <w:b/>
          <w:bCs/>
        </w:rPr>
        <w:t xml:space="preserve">valores concretos</w:t>
      </w:r>
      <w:r>
        <w:t xml:space="preserve"> (limites, faixas, unidades oficiais, periodicidades) são conteúdo regulatório e dependem de validação jurídica, validação técnica e confirmação da fonte normativa.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Emissão do PMOC exige estado de referência.</w:t>
      </w:r>
      <w:r>
        <w:t xml:space="preserve"> Ver §9.2.</w:t>
      </w:r>
    </w:p>
    <w:p>
      <w:pPr>
        <w:pStyle w:val="Heading3"/>
      </w:pPr>
      <w:r>
        <w:t xml:space="preserve">9.2 Princípio preliminar — estado de referência do PMOC emitido</w:t>
      </w:r>
    </w:p>
    <w:p>
      <w:pPr>
        <w:spacing w:after="120"/>
        <w:jc w:val="both"/>
      </w:pPr>
      <w:r>
        <w:t xml:space="preserve">Quando um PMOC for emitido ou versionado, o sistema deverá futuramente permitir determinar </w:t>
      </w:r>
      <w:r>
        <w:rPr>
          <w:b/>
          <w:bCs/>
        </w:rPr>
        <w:t xml:space="preserve">qual era o estado de referência utilizado na emissão</w:t>
      </w:r>
      <w:r>
        <w:t xml:space="preserve">, de modo que um documento histórico não mude de significado porque o cadastro atual do ativo mudou depois.</w:t>
      </w:r>
    </w:p>
    <w:p>
      <w:pPr>
        <w:spacing w:after="120"/>
        <w:jc w:val="both"/>
      </w:pPr>
      <w:r>
        <w:t xml:space="preserve">Encadeamento conceitual preliminar: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PMOC Version</w:t>
      </w:r>
      <w:r>
        <w:t xml:space="preserve"> → estado do inventário/ativos aplicável → versão do plano de manutenção → versões das regras utilizadas → referências regulatórias utilizadas → responsável técnico → timestamp de emissão.</w:t>
      </w:r>
    </w:p>
    <w:p>
      <w:pPr>
        <w:spacing w:after="120"/>
        <w:jc w:val="both"/>
      </w:pPr>
      <w:r>
        <w:t xml:space="preserve">Este é um </w:t>
      </w:r>
      <w:r>
        <w:rPr>
          <w:b/>
          <w:bCs/>
        </w:rPr>
        <w:t xml:space="preserve">princípio conceitual</w:t>
      </w:r>
      <w:r>
        <w:t xml:space="preserve">, não uma modelagem. Entidades, mecanismo (cópia, versionamento, referência imutável ou evento) e persistência serão definidos nas Fases 3 e 6. Registrado como questão de detalhamento em OQ-020.</w:t>
      </w:r>
    </w:p>
    <w:p>
      <w:pPr>
        <w:pStyle w:val="Heading2"/>
      </w:pPr>
      <w:r>
        <w:t xml:space="preserve">10.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Estabelecer registro único e confiável de clientes da prestadora, unidades, ambientes, sistemas HVAC e equipamentos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Permitir elaboração, versionamento e emissão do PMOC a partir do inventário real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Planejar e acompanhar cronogramas de manutenção derivados de regras configuráveis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execução de campo com checklist, medições e evidências vinculadas ao ativo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Produzir trilha de auditoria de negócio desde a primeira versão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Representar requisitos regulatórios como dado versionado (Compliance as Data)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(capacidade estrutural) / Pós-MVP (cobertura ampla)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Fornecer indicadores operacionais e de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Habilitar operação móvel e offline sem reconstrução arquitetural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OBJ-009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Permitir integrações externas e ingestão de telemetria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11. Resultados esperados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Ciclo de manutenção planejável, executável e comprovável dentro de um único sistema de registro.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Evidências associadas de forma inequívoca a ativo, OS, requisito regulatório e responsável.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Redução de esforço manual na produção do PMOC e de relatórios (meta quantitativa a definir — OQ-005).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Capacidade de responder a uma fiscalização a partir de dados do sistema, sem reconstrução manual de histórico.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de dados estruturada que habilita analytics e, futuramente, manutenção preditiva.</w:t>
      </w:r>
    </w:p>
    <w:p>
      <w:pPr>
        <w:pStyle w:val="Heading2"/>
      </w:pPr>
      <w:r>
        <w:t xml:space="preserve">12.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 resumida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Detalhamento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Administrador do 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Configura a empresa prestadora, usuários, papéis e parâmetros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Gestor de operações / PCM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Planeja, prioriza, acompanha execução e indicadores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Assume responsabilidade técnica pelo PMOC e por laudos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Técnico de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 OS, checklists, medições e 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Back-office / administrativo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Cadastros, contratos, documentos, emissão de relatórios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 final (portal)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status, documentos e comprovações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 (Pós-MVP)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 / fiscalização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Consome evidências e trilhas (acesso direto é Pós-MVP / A validar)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Operação Services.NET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Suporte, provisionamento, observabilidade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13. Stakeholders</w:t>
      </w:r>
    </w:p>
    <w:p>
      <w:pPr>
        <w:spacing w:after="120"/>
        <w:jc w:val="both"/>
      </w:pPr>
      <w:r>
        <w:t xml:space="preserve">Mapa completo em </w:t>
      </w:r>
      <w:r>
        <w:rPr>
          <w:b/>
          <w:bCs/>
        </w:rPr>
        <w:t xml:space="preserve">DOC-004 — Stakeholder Map</w:t>
      </w:r>
      <w:r>
        <w:t xml:space="preserve">. Em síntese: Services.NET (patrocínio, engenharia, operação), empresa prestadora cliente-piloto (tenant e fonte de requisitos), clientes finais, responsáveis técnicos e conselhos profissionais competentes, autoridades sanitárias, e agentes de desenvolvimento (Opus, Claude Code, GPT Codex).</w:t>
      </w:r>
    </w:p>
    <w:p>
      <w:pPr>
        <w:spacing w:after="120"/>
        <w:jc w:val="both"/>
      </w:pPr>
      <w:r>
        <w:rPr>
          <w:b/>
          <w:bCs/>
        </w:rPr>
        <w:t xml:space="preserve">Nota desta revisão:</w:t>
      </w:r>
      <w:r>
        <w:t xml:space="preserve"> as autoridades </w:t>
      </w:r>
      <w:r>
        <w:rPr>
          <w:b/>
          <w:bCs/>
        </w:rPr>
        <w:t xml:space="preserve">Jurídico/Regulatório</w:t>
      </w:r>
      <w:r>
        <w:t xml:space="preserve"> (STK-007) e </w:t>
      </w:r>
      <w:r>
        <w:rPr>
          <w:b/>
          <w:bCs/>
        </w:rPr>
        <w:t xml:space="preserve">DPO/Privacidade</w:t>
      </w:r>
      <w:r>
        <w:t xml:space="preserve"> (STK-021) passam a ser tratadas como responsabilidades distintas, ainda que possam ser exercidas pela mesma pessoa ou fornecedor.</w:t>
      </w:r>
    </w:p>
    <w:p>
      <w:pPr>
        <w:pStyle w:val="Heading2"/>
      </w:pPr>
      <w:r>
        <w:t xml:space="preserve">14.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 precisa 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plataforma oferece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Diferente de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Prestadora de climatização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operação e comprovar conformidade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Ciclo completo ativo → plano → OS → evidência → relatório, com auditoria nativa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Planilhas e documentos avulsos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Base defensável para assumir responsabilidade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Versionamento, rastreabilidade e vínculo evidência–requisito regulatório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Documentos estáticos sem histórico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Transparência do serviço contratado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Comprovação estruturada e acessível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 manuais de periodicidade incerta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Services.NET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 escalável e evolutivo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 multi-tenant com conformidade como dado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Customização por cliente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15. Capacidades de alto nível</w:t>
      </w:r>
    </w:p>
    <w:p>
      <w:pPr>
        <w:spacing w:after="120"/>
        <w:jc w:val="both"/>
      </w:pPr>
      <w:r>
        <w:t xml:space="preserve">Detalhamento e classificação de escopo em </w:t>
      </w:r>
      <w:r>
        <w:rPr>
          <w:b/>
          <w:bCs/>
        </w:rPr>
        <w:t xml:space="preserve">DOC-006 — Product Capabilities Map</w:t>
      </w:r>
      <w:r>
        <w:t xml:space="preserve"> (79 capacidades catalogadas). Agrupamentos: Identidade e Tenancy; Estrutura Comercial; Inventário de Ativos; Conformidade e PMOC; Programação e OS; Execução em Campo; Qualidade e Não Conformidade; Documentos e Evidências; Relatórios e Inteligência; Auditoria e Governança; Integrações e Extensões.</w:t>
      </w:r>
    </w:p>
    <w:p>
      <w:pPr>
        <w:pStyle w:val="Heading2"/>
      </w:pPr>
      <w:r>
        <w:t xml:space="preserve">16. Escopo inicial</w:t>
      </w:r>
    </w:p>
    <w:p>
      <w:pPr>
        <w:spacing w:after="120"/>
        <w:jc w:val="both"/>
      </w:pPr>
      <w:r>
        <w:t xml:space="preserve">O escopo do MVP é definido em </w:t>
      </w:r>
      <w:r>
        <w:rPr>
          <w:b/>
          <w:bCs/>
        </w:rPr>
        <w:t xml:space="preserve">DOC-007 — MVP Definition</w:t>
      </w:r>
      <w:r>
        <w:t xml:space="preserve"> e delimitado em </w:t>
      </w:r>
      <w:r>
        <w:rPr>
          <w:b/>
          <w:bCs/>
        </w:rPr>
        <w:t xml:space="preserve">DOC-003 — Project Scope</w:t>
      </w:r>
      <w:r>
        <w:t xml:space="preserve">. Em resumo, o MVP cobre: cadastro de tenant, usuários e papéis; cadastro de clientes da prestadora, unidades, ambientes, sistemas HVAC e equipamentos; planos de manutenção baseados em regras configuráveis; geração e acompanhamento de cronograma; OS com requisitos de execução por tipo; anexo de evidências; registro de não conformidades; geração do documento PMOC e relatórios operacionais essenciais; trilha de auditoria; capacidade estrutural de Compliance as Data.</w:t>
      </w:r>
    </w:p>
    <w:p>
      <w:pPr>
        <w:pStyle w:val="Heading2"/>
      </w:pPr>
      <w:r>
        <w:t xml:space="preserve">17. Fora de escopo (nesta etapa)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Aplicativos móveis nativos (Android/iOS) e operação offline — previstos, não construídos no MVP.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Módulo financeiro completo (faturamento, contas a receber, folha).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Gestão de estoque e compras.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Integrações com ERPs de terceiros.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Sensores, IoT, telemetria e manutenção preditiva.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Recursos assistidos por IA aplicados ao produto final.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Portal do cliente final com autoatendimento completo.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Definição do mecanismo de assinatura/manifestação de vontade — A validar (OQ-006)</w:t>
      </w:r>
      <w:r>
        <w:t xml:space="preserve">, sem solução tecnológica presumida.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Emissão de documentos fiscais.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Multi-idioma e múltiplas jurisdições regulatórias.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Carga de valores regulatórios concretos</w:t>
      </w:r>
      <w:r>
        <w:t xml:space="preserve"> (limites, faixas, periodicidades oficiais) sem validação jurídica e técnica.</w:t>
      </w:r>
    </w:p>
    <w:p>
      <w:pPr>
        <w:pStyle w:val="Heading2"/>
      </w:pPr>
      <w:r>
        <w:t xml:space="preserve">18. Premissas</w:t>
      </w:r>
    </w:p>
    <w:p>
      <w:pPr>
        <w:spacing w:after="120"/>
        <w:jc w:val="both"/>
      </w:pPr>
      <w:r>
        <w:t xml:space="preserve">Registro completo em </w:t>
      </w:r>
      <w:r>
        <w:rPr>
          <w:b/>
          <w:bCs/>
        </w:rPr>
        <w:t xml:space="preserve">XLS-001</w:t>
      </w:r>
      <w:r>
        <w:t xml:space="preserve">. Premissas estruturantes: existência de cliente-piloto disponível para validação (ASM-001); operação da plataforma sob responsabilidade da Services.NET (ASM-002); conectividade adequada para o MVP Web (ASM-004); jurisdição inicial exclusivamente brasileira (ASM-005); dados pessoais tratados limitam-se a contexto profissional e de contato (ASM-006, sujeito a validação do DPO).</w:t>
      </w:r>
    </w:p>
    <w:p>
      <w:pPr>
        <w:pStyle w:val="Heading2"/>
      </w:pPr>
      <w:r>
        <w:t xml:space="preserve">19. Restrições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Natureza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Nenhuma escolha tecnológica é definitiva antes de ADR aprovado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Governança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deve ser utilizável via navegador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 deve ser API First e multi-tenant desde a concepção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Normas técnicas protegidas por direito autoral não podem ser reproduzidas integralmente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Legal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Bases legais da LGPD exigem validação do DPO; interpretação regulatória exige validação jurídica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Legal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Microsserviços exigem justificativa objetiva; preferência por Modular Monolith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Identificadores sequenciais não podem ser expostos externamente sem avaliação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Fases documentais não avançam sem registro de decisões, riscos e critérios de aceite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Processo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Equipe, orçamento e prazo ainda não informados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Planejamento (OQ-007)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 informação possui uma única fonte autoritativa declarada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CON-011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Regras, periodicidades e parâmetros não podem residir em código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CON-012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Agentes de IA não alteram decisão estruturante sem ADR e aprovação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Governança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20. Dependências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Disponibilidade do cliente-piloto para levantamento da Fase 2 (DEP-004).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Parecer </w:t>
      </w:r>
      <w:r>
        <w:rPr>
          <w:b/>
          <w:bCs/>
        </w:rPr>
        <w:t xml:space="preserve">jurídico/regulatório</w:t>
      </w:r>
      <w:r>
        <w:t xml:space="preserve"> sobre vigência e aplicabilidade normativa (DEP-001).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Parecer do </w:t>
      </w:r>
      <w:r>
        <w:rPr>
          <w:b/>
          <w:bCs/>
        </w:rPr>
        <w:t xml:space="preserve">DPO/Encarregado</w:t>
      </w:r>
      <w:r>
        <w:t xml:space="preserve"> sobre bases legais, retenção e direitos dos titulares (DEP-010).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Parecer de responsável técnico sobre periodicidades e parâmetros (DEP-002).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Aquisição legítima das normas técnicas ABNT aplicáveis, incluindo a ABNT NBR 17037 (DEP-003).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Definição de provedor de nuvem, object storage e provedor de identidade (DEP-006).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Definição do repositório Git e do pipeline de CI/CD (DEP-007).</w:t>
      </w:r>
    </w:p>
    <w:p>
      <w:pPr>
        <w:pStyle w:val="Heading2"/>
      </w:pPr>
      <w:r>
        <w:t xml:space="preserve">21. Riscos iniciais</w:t>
      </w:r>
    </w:p>
    <w:p>
      <w:pPr>
        <w:spacing w:after="120"/>
        <w:jc w:val="both"/>
      </w:pPr>
      <w:r>
        <w:t xml:space="preserve">Registro completo em </w:t>
      </w:r>
      <w:r>
        <w:rPr>
          <w:b/>
          <w:bCs/>
        </w:rPr>
        <w:t xml:space="preserve">XLS-002</w:t>
      </w:r>
      <w:r>
        <w:t xml:space="preserve"> (19 riscos). Os mais relevantes: incerteza quanto à extensão da aplicabilidade da referência técnica de qualidade do ar (RSK-001); vazamento entre tenants (RSK-002); escopo excessivo no MVP (RSK-003); ausência de cliente-piloto engajado (RSK-004); alteração silenciosa de decisões arquiteturais por agentes (RSK-005); perda de fidelidade histórica do PMOC emitido (RSK-019).</w:t>
      </w:r>
    </w:p>
    <w:p>
      <w:pPr>
        <w:pStyle w:val="Heading2"/>
      </w:pPr>
      <w:r>
        <w:t xml:space="preserve">22. Requisitos não funcionais de alto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Diretriz de alto nível (metas numéricas a definir na Fase 2)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Disponibilidade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Serviço contínuo em horário comercial estendido; alvo de SLA a definir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Desempenho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Tempo de resposta adequado a uso operacional em campo e escritório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Escalabilidade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Crescimento por número de tenants, ativos e evidências sem redesenho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Secure by Design, least privilege, defense in depth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Privacidade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Privacy by Design; minimização e retenção definida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auditoria de negócio íntegra e consultável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Logs estruturados, métricas, tracing e correlation ID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Manutenibilidade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 modular, baixo acoplamento, alta coesão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Interoperabilidade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versionada e documentada em OpenAPI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Portabilidade de dados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de dados do tenant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NFR-H-011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Continuidade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Backup, restore testado e plano de recuperação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NFR-H-012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Acessibilidade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Alvo de conformidade a definir (OQ-008)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23. Princípios de segurança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Secure by Design e Privacy by Design desde a modelagem, não como camada posterior.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Least Privilege para usuários, serviços, integrações e agentes.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Defense in Depth: isolamento de tenant verificado em múltiplas camadas.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Autenticação forte, com MFA exigido ao menos para perfis administrativos.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Autorização por RBAC com permissões granulares e verificação server-side obrigatória.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Criptografia em trânsito obrigatória; criptografia em repouso conforme classificação do dado.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Evidências e documentos servidos por acesso controlado e temporário, nunca por URL pública permanente.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Segregação entre logs técnicos e trilha de auditoria de negócio.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Gestão de secrets fora do código-fonte e fora do repositório.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Controle de cadeia de suprimentos: dependências inventariadas e monitoradas.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Rate limiting e proteção contra abuso em toda superfície pública.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Backup, restore e recuperação testados periodicamente, não presumidos.</w:t>
      </w:r>
    </w:p>
    <w:p>
      <w:pPr>
        <w:pStyle w:val="Heading2"/>
      </w:pPr>
      <w:r>
        <w:t xml:space="preserve">24. Princípios regulatórios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Legislação é dado vivo: nunca presumir vigência a partir de documento histórico.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Todo requisito regulatório registrado deve conter norma, órgão, fonte oficial, data da consulta e, quando conhecida, vigência.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Distinguir formalmente </w:t>
      </w:r>
      <w:r>
        <w:rPr>
          <w:b/>
          <w:bCs/>
        </w:rPr>
        <w:t xml:space="preserve">lei</w:t>
      </w:r>
      <w:r>
        <w:t xml:space="preserve">, </w:t>
      </w:r>
      <w:r>
        <w:rPr>
          <w:b/>
          <w:bCs/>
        </w:rPr>
        <w:t xml:space="preserve">regulamento</w:t>
      </w:r>
      <w:r>
        <w:t xml:space="preserve">, </w:t>
      </w:r>
      <w:r>
        <w:rPr>
          <w:b/>
          <w:bCs/>
        </w:rPr>
        <w:t xml:space="preserve">norma técnica</w:t>
      </w:r>
      <w:r>
        <w:t xml:space="preserve">, </w:t>
      </w:r>
      <w:r>
        <w:rPr>
          <w:b/>
          <w:bCs/>
        </w:rPr>
        <w:t xml:space="preserve">recomendação</w:t>
      </w:r>
      <w:r>
        <w:t xml:space="preserve"> e </w:t>
      </w:r>
      <w:r>
        <w:rPr>
          <w:b/>
          <w:bCs/>
        </w:rPr>
        <w:t xml:space="preserve">regra interna do cliente</w:t>
      </w:r>
      <w:r>
        <w:t xml:space="preserve">. Norma técnica não adquire status de lei por conveniência documental.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Normas técnicas protegidas por direito autoral são referenciadas, nunca reproduzidas integralmente.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Regras distintas devem ser modeladas separadamente, ainda que compartilhem um mesmo parâmetro numérico (§5.3).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Capacidade estrutural de registrar parâmetros não autoriza a carga de valores regulatórios não validados.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Incertezas são registradas como questão aberta, não resolvidas por inferência.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Pontos que exigem validação jurídica, do DPO ou de responsável técnico são sinalizados explicitamente e encaminhados à autoridade correta.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Requisitos regulatórios, periodicidades e parâmetros residem em dados versionados, não no código.</w:t>
      </w:r>
    </w:p>
    <w:p>
      <w:pPr>
        <w:pStyle w:val="Heading2"/>
      </w:pPr>
      <w:r>
        <w:t xml:space="preserve">25. Estratégia Multi-Tenant</w:t>
      </w:r>
    </w:p>
    <w:p>
      <w:pPr>
        <w:spacing w:after="120"/>
        <w:jc w:val="both"/>
      </w:pPr>
      <w:r>
        <w:t xml:space="preserve">A plataforma é multi-tenant, sendo o </w:t>
      </w:r>
      <w:r>
        <w:rPr>
          <w:b/>
          <w:bCs/>
        </w:rPr>
        <w:t xml:space="preserve">tenant</w:t>
      </w:r>
      <w:r>
        <w:t xml:space="preserve"> a empresa prestadora de serviços. A hierarquia tenant → clientes da prestadora → unidades → ambientes → sistemas HVAC → equipamentos é o eixo de autorização e de escopo de consulta.</w:t>
      </w:r>
    </w:p>
    <w:p>
      <w:pPr>
        <w:spacing w:after="120"/>
        <w:jc w:val="both"/>
      </w:pPr>
      <w:r>
        <w:rPr>
          <w:b/>
          <w:bCs/>
        </w:rPr>
        <w:t xml:space="preserve">Princípio obrigatório (semântico e de segurança):</w:t>
      </w:r>
      <w:r>
        <w:t xml:space="preserve"> todo recurso de negócio deve possuir </w:t>
      </w:r>
      <w:r>
        <w:rPr>
          <w:b/>
          <w:bCs/>
        </w:rPr>
        <w:t xml:space="preserve">pertencimento inequívoco a um tenant</w:t>
      </w:r>
      <w:r>
        <w:t xml:space="preserve">, e toda operação deve </w:t>
      </w:r>
      <w:r>
        <w:rPr>
          <w:b/>
          <w:bCs/>
        </w:rPr>
        <w:t xml:space="preserve">resolver e autorizar o escopo do tenant no servidor</w:t>
      </w:r>
      <w:r>
        <w:t xml:space="preserve">. Nenhuma operação pode ser executada sem escopo de tenant resolvido e verificado server-side.</w:t>
      </w:r>
    </w:p>
    <w:p>
      <w:pPr>
        <w:spacing w:after="120"/>
        <w:jc w:val="both"/>
      </w:pPr>
      <w:r>
        <w:rPr>
          <w:b/>
          <w:bCs/>
        </w:rPr>
        <w:t xml:space="preserve">O que esta versão deixa de afirmar.</w:t>
      </w:r>
      <w:r>
        <w:t xml:space="preserve"> A versão anterior sugeria que toda entidade seria qualificada por uma coluna </w:t>
      </w:r>
      <w:r>
        <w:rPr>
          <w:rFonts w:ascii="Consolas" w:cs="Consolas" w:eastAsia="Consolas" w:hAnsi="Consolas"/>
          <w:sz w:val="20"/>
          <w:szCs w:val="20"/>
        </w:rPr>
        <w:t xml:space="preserve">TenantId</w:t>
      </w:r>
      <w:r>
        <w:t xml:space="preserve">. Essa era uma prescrição prematura de implementação física e foi </w:t>
      </w:r>
      <w:r>
        <w:rPr>
          <w:b/>
          <w:bCs/>
        </w:rPr>
        <w:t xml:space="preserve">removida</w:t>
      </w:r>
      <w:r>
        <w:t xml:space="preserve">. O mecanismo físico de isolamento é decisão de </w:t>
      </w:r>
      <w:r>
        <w:rPr>
          <w:b/>
          <w:bCs/>
        </w:rPr>
        <w:t xml:space="preserve">ADR-001 — Modelo de isolamento multi-tenant</w:t>
      </w:r>
      <w:r>
        <w:t xml:space="preserve">, que avaliará, entre outras possibilidades: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per tenant;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per tenant;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schema com discriminador;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modelo híbrido.</w:t>
      </w:r>
    </w:p>
    <w:p>
      <w:pPr>
        <w:spacing w:after="120"/>
        <w:jc w:val="both"/>
      </w:pPr>
      <w:r>
        <w:t xml:space="preserve">O ADR-001 considerará isolamento, custo operacional, complexidade de migrações, backup/restore por tenant, portabilidade e requisitos de exclusão de dados. Até sua decisão, vale apenas a regra semântica e de segurança acima.</w:t>
      </w:r>
    </w:p>
    <w:p>
      <w:pPr>
        <w:pStyle w:val="Heading2"/>
      </w:pPr>
      <w:r>
        <w:t xml:space="preserve">26. Estratégia Web First / API First</w:t>
      </w:r>
    </w:p>
    <w:p>
      <w:pPr>
        <w:spacing w:after="120"/>
        <w:jc w:val="both"/>
      </w:pPr>
      <w:r>
        <w:t xml:space="preserve">O MVP entrega uma aplicação web. A API, entretanto, é o contrato primário do produto.</w:t>
      </w:r>
    </w:p>
    <w:p>
      <w:pPr>
        <w:spacing w:after="120"/>
        <w:jc w:val="both"/>
      </w:pPr>
      <w:r>
        <w:rPr>
          <w:b/>
          <w:bCs/>
        </w:rPr>
        <w:t xml:space="preserve">Formulação desta versão:</w:t>
      </w:r>
      <w:r>
        <w:t xml:space="preserve"> toda </w:t>
      </w:r>
      <w:r>
        <w:rPr>
          <w:b/>
          <w:bCs/>
        </w:rPr>
        <w:t xml:space="preserve">operação de negócio ou operação server-side</w:t>
      </w:r>
      <w:r>
        <w:t xml:space="preserve"> exposta pela interface deve possuir contrato de API documentado e versionado quando aplicável. Não se exige endpoint artificial para comportamento estritamente local da interface (validação de formulário, navegação, estado visual, formatação).</w:t>
      </w:r>
    </w:p>
    <w:p>
      <w:pPr>
        <w:spacing w:after="120"/>
        <w:jc w:val="both"/>
      </w:pPr>
      <w:r>
        <w:t xml:space="preserve">Consequências obrigatórias: nenhuma regra de negócio exclusiva da camada de apresentação; autorização sempre verificada no servidor; contratos versionados com política explícita de compatibilidade; identificadores estáveis e opacos; operações sensíveis idempotentes, preparando sincronização futura.</w:t>
      </w:r>
    </w:p>
    <w:p>
      <w:pPr>
        <w:pStyle w:val="Heading2"/>
      </w:pPr>
      <w:r>
        <w:t xml:space="preserve">27. Evolução Mobile</w:t>
      </w:r>
    </w:p>
    <w:p>
      <w:pPr>
        <w:spacing w:after="120"/>
        <w:jc w:val="both"/>
      </w:pPr>
      <w:r>
        <w:t xml:space="preserve">Aplicações PWA, Android e iOS, com operação offline e sincronização posterior, são evoluções previstas e </w:t>
      </w:r>
      <w:r>
        <w:rPr>
          <w:b/>
          <w:bCs/>
        </w:rPr>
        <w:t xml:space="preserve">não implementadas no MVP</w:t>
      </w:r>
      <w:r>
        <w:t xml:space="preserve">. A arquitetura deve evitar decisões que as inviabilizem, em particular quanto a: estratégia de identificadores gerados pelo cliente (ADR-002); idempotência de operações de escrita; modelo de resolução de conflitos; upload de evidências resiliente e retomável; contratos de API tolerantes a versões defasadas de cliente.</w:t>
      </w:r>
    </w:p>
    <w:p>
      <w:pPr>
        <w:pStyle w:val="Heading2"/>
      </w:pPr>
      <w:r>
        <w:t xml:space="preserve">28. Critérios para MVP</w:t>
      </w:r>
    </w:p>
    <w:p>
      <w:pPr>
        <w:spacing w:after="120"/>
        <w:jc w:val="both"/>
      </w:pPr>
      <w:r>
        <w:t xml:space="preserve">Um item pertence ao MVP quando satisfaz simultaneamente: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é necessário para que o cliente-piloto execute o ciclo completo cliente da prestadora → ativo → plano → OS → execução → evidência → PMOC/relatório;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sua ausência impediria a operação real ou a comprovação de conformidade;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pode ser entregue com requisitos claros, regras conhecidas e critérios de aceite definidos (Definition of Ready);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não depende de decisão regulatória ou jurídica ainda pendente</w:t>
      </w:r>
      <w:r>
        <w:t xml:space="preserve"> — o que inclui a distinção entre capacidade estrutural (admitida) e conteúdo regulatório concreto (não admitido sem validação);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não exige plataforma adicional (mobile nativo, IoT, IA).</w:t>
      </w:r>
    </w:p>
    <w:p>
      <w:pPr>
        <w:pStyle w:val="Heading2"/>
      </w:pPr>
      <w:r>
        <w:t xml:space="preserve">29.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Baseline/Meta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Ativos cadastrados e vinculados a plano de manutenção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Adoção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 com o piloto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OS executadas com registro completo no sistema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Adoção/Qualidade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Percentual de execuções com evidência vinculada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Qualidade probatória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Aderência ao cronograma planejado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Operacional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Tempo de emissão do PMOC atualizado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Eficiência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Não conformidades registradas e tratadas dentro do prazo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definir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Incidentes de segurança ou de vazamento entre tenants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Zero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MET-008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Cobertura de requisitos rastreados na RTM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Engenharia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100% dos requisitos aprovados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Metas numéricas não serão arbitradas nesta fase (OQ-005).</w:t>
      </w:r>
    </w:p>
    <w:p>
      <w:pPr>
        <w:pStyle w:val="Heading2"/>
      </w:pPr>
      <w:r>
        <w:t xml:space="preserve">30.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de escopo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 (a designar), com validação do patrocinador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arquitetural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Principal Architect da Services.NET, via ADR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jurídica/regulatória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Jurídico (STK-007) — vigência, aplicabilidade, contratos, valor probatório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de privacidade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DPO/Encarregado (STK-021) — LGPD, bases legais, retenção, direitos dos titulares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técnica de domínio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técnico habilitado — periodicidades, parâmetros e procedimentos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autoritativa — documentos executivos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Microsoft 365 (Word, Excel, Power BI)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autoritativa — decisões de implementação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Repositório Git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/docs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AGENTS.md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CLAUDE.md</w:t>
            </w:r>
            <w:r>
              <w:t xml:space="preserve">) — a criar na Fase 10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não autoritativo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Overview_Project.md</w:t>
            </w:r>
            <w:r>
              <w:t xml:space="preserve"> (concepção inicial; prevalecem os artefatos aprovados)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 antiduplicidade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 informação possui uma única fonte autoritativa, declarada no cabeçalho do artefato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Todo artefato possui identificador, versão, data e 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Cadência de revisão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Revisão formal ao fim de cada fase, antes do avanço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31. Processo de decisão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Decisões </w:t>
      </w:r>
      <w:r>
        <w:rPr>
          <w:b/>
          <w:bCs/>
        </w:rPr>
        <w:t xml:space="preserve">funcionais e de produto</w:t>
      </w:r>
      <w:r>
        <w:t xml:space="preserve"> são registradas no </w:t>
      </w:r>
      <w:r>
        <w:rPr>
          <w:b/>
          <w:bCs/>
        </w:rPr>
        <w:t xml:space="preserve">Decision Log (XLS-004)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Decisões </w:t>
      </w:r>
      <w:r>
        <w:rPr>
          <w:b/>
          <w:bCs/>
        </w:rPr>
        <w:t xml:space="preserve">estruturantes de arquitetura</w:t>
      </w:r>
      <w:r>
        <w:t xml:space="preserve"> exigem </w:t>
      </w:r>
      <w:r>
        <w:rPr>
          <w:b/>
          <w:bCs/>
        </w:rPr>
        <w:t xml:space="preserve">ADR</w:t>
      </w:r>
      <w:r>
        <w:t xml:space="preserve"> com contexto, alternativas, decisão, consequências e status.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Questões sem resposta são registradas em </w:t>
      </w:r>
      <w:r>
        <w:rPr>
          <w:b/>
          <w:bCs/>
        </w:rPr>
        <w:t xml:space="preserve">Open Questions (XLS-003)</w:t>
      </w:r>
      <w:r>
        <w:t xml:space="preserve"> com responsável e impacto.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Hipóteses assumidas são registradas em </w:t>
      </w:r>
      <w:r>
        <w:rPr>
          <w:b/>
          <w:bCs/>
        </w:rPr>
        <w:t xml:space="preserve">XLS-001</w:t>
      </w:r>
      <w:r>
        <w:t xml:space="preserve"> e nunca tratadas como requisito confirmado.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Nenhum agente de desenvolvimento altera decisão estruturante sem identificar a decisão vigente, justificar, criar ou atualizar o ADR, avaliar impacto e obter aprovação.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Aceitação de auditoria não equivale a aprovação de decisão.</w:t>
      </w:r>
      <w:r>
        <w:t xml:space="preserve"> A aceitação da auditoria da Fase 1 pela Services.NET não altera o status das decisões DEC-001 a DEC-010, que permanecem como </w:t>
      </w:r>
      <w:r>
        <w:rPr>
          <w:rFonts w:ascii="Consolas" w:cs="Consolas" w:eastAsia="Consolas" w:hAnsi="Consolas"/>
          <w:sz w:val="20"/>
          <w:szCs w:val="20"/>
        </w:rPr>
        <w:t xml:space="preserve">Proposta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Mudança de escopo após aprovação do Charter segue registro formal de impacto em prazo, risco e dependências.</w:t>
      </w:r>
    </w:p>
    <w:p>
      <w:pPr>
        <w:pStyle w:val="Heading2"/>
      </w:pPr>
      <w:r>
        <w:t xml:space="preserve">32. Próximos passos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Segunda revisão formal deste pacote (v0.2) pela Services.NET.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Designação de patrocinador, Product Owner, autoridade jurídica e DPO.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Confirmação do cliente-piloto e agendamento do levantamento da Fase 2.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Solicitação de parecer jurídico sobre aplicabilidade da ABNT NBR 17037, sobre a Portaria GM/MS nº 3.523/1998 e sobre a distinção Regra A / Regra B.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Solicitação de parecer do DPO sobre bases legais, retenção e direitos dos titulares.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Solicitação de parecer de responsável técnico sobre periodicidades e parâmetros.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Aquisição legítima da ABNT NBR 17037 e demais normas aplicáveis.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Registro da referência oficial exata da orientação da ANVISA na matriz regulatória (OQ-019).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Fechamento das questões abertas bloqueantes.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Aprovação formal para início da Fase 2 — </w:t>
      </w:r>
      <w:r>
        <w:rPr>
          <w:b/>
          <w:bCs/>
        </w:rPr>
        <w:t xml:space="preserve">que não foi iniciada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DOC-001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2026-09-22T20:35:29.5483891Z</dcterms:created>
  <dcterms:modified xsi:type="dcterms:W3CDTF">2026-09-22T20:35:29.5483891Z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