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DOC-002 — Product Vision and Product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DOC-002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Versão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0.2 DRAFT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Versão anterior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0.1 DRAFT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Data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22/09/2026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Origem das alterações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Services.NET Phase 1 Audit — Approved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1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Organização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Services.NET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Aguardando segunda revisão formal da Services.NET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Fonte autoritativa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Microsoft 365 (este documento)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both"/>
      </w:pPr>
      <w:r>
        <w:rPr>
          <w:b/>
          <w:bCs/>
        </w:rPr>
        <w:t xml:space="preserve">Alterações nesta versão:</w:t>
      </w:r>
      <w:r>
        <w:t xml:space="preserve"> PE-02 reformulado (TenantId deixa de ser prescrição física); PE-01 harmonizado com a redação de API First; novo princípio PP-13 (estado de referência do PMOC emitido); tabela de tensões atualizada.</w:t>
      </w:r>
    </w:p>
    <w:p>
      <w:pPr>
        <w:pStyle w:val="Heading2"/>
      </w:pPr>
      <w:r>
        <w:t xml:space="preserve">1. Declaração de visão</w:t>
      </w:r>
    </w:p>
    <w:p>
      <w:pPr>
        <w:spacing w:after="120"/>
        <w:jc w:val="both"/>
      </w:pPr>
      <w:r>
        <w:t xml:space="preserve">Uma plataforma na qual </w:t>
      </w:r>
      <w:r>
        <w:rPr>
          <w:b/>
          <w:bCs/>
        </w:rPr>
        <w:t xml:space="preserve">a operação executada é a própria evidência de conformidade</w:t>
      </w:r>
      <w:r>
        <w:t xml:space="preserve">: cada manutenção planejada, executada e registrada alimenta, sem retrabalho documental, o histórico do ativo, a trilha de auditoria e a comprovação regulatória exigível do cliente final.</w:t>
      </w:r>
    </w:p>
    <w:p>
      <w:pPr>
        <w:pStyle w:val="Heading2"/>
      </w:pPr>
      <w:r>
        <w:t xml:space="preserve">2. Vision Statement estruturado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Para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Empresas prestadoras de serviços de climatização, refrigeração e manutenção HVAC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Que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Precisam planejar, executar e comprovar manutenção de sistemas HVAC de terceiros sob exigência regulatória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plataforma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É um sistema de gestão de manutenção, ativos, operações de campo e conformidade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Que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Converte a execução diária em registro rastreável, evidência probatória e documentação regulatória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Diferente 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Planilhas, documentos avulsos e ferramentas que apenas preenchem formulários de PMOC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Nosso produto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Trata o ativo como entidade de primeira classe e o requisito regulatório como dado versionado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3. O que o produto é e o que não 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produto é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produto não é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Plataforma de gestão de manutenção e ativos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Gerador de formulário PMOC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Sistema de registro de operações de campo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Aplicativo de checklist isolado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Base probatória auditável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Repositório de arquivos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Motor de conformidade parametrizável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Código com regras legais embutidas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Produto multi-tenant padronizado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Customização sob medida por cliente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Fonte de indicadores operacionais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Ferramenta de BI genérica</w:t>
            </w:r>
          </w:p>
        </w:tc>
      </w:tr>
      <w:t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Registro de conformidade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Autoridade que interpreta ou certifica conformidade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4. Princípios de produto</w:t>
      </w:r>
    </w:p>
    <w:p>
      <w:pPr>
        <w:pStyle w:val="Heading3"/>
      </w:pPr>
      <w:r>
        <w:t xml:space="preserve">PP-01 — Ativo antes do documento</w:t>
      </w:r>
    </w:p>
    <w:p>
      <w:pPr>
        <w:spacing w:after="120"/>
        <w:jc w:val="both"/>
      </w:pPr>
      <w:r>
        <w:t xml:space="preserve">O objeto central é o ativo físico e seu histórico. O documento PMOC é uma projeção do estado dos ativos e do plano, nunca a origem do dado.</w:t>
      </w:r>
    </w:p>
    <w:p>
      <w:pPr>
        <w:pStyle w:val="Heading3"/>
      </w:pPr>
      <w:r>
        <w:t xml:space="preserve">PP-02 — Conformidade como dado</w:t>
      </w:r>
    </w:p>
    <w:p>
      <w:pPr>
        <w:spacing w:after="120"/>
        <w:jc w:val="both"/>
      </w:pPr>
      <w:r>
        <w:t xml:space="preserve">Requisitos regulatórios, periodicidades, parâmetros e checklists são dados versionados, com origem, autoridade e vigência. Nenhuma regra mutável no código.</w:t>
      </w:r>
    </w:p>
    <w:p>
      <w:pPr>
        <w:pStyle w:val="Heading3"/>
      </w:pPr>
      <w:r>
        <w:t xml:space="preserve">PP-03 — Evidência vinculada</w:t>
      </w:r>
    </w:p>
    <w:p>
      <w:pPr>
        <w:spacing w:after="120"/>
        <w:jc w:val="both"/>
      </w:pPr>
      <w:r>
        <w:t xml:space="preserve">Toda evidência (foto, medição, checklist, documento, manifestação de vontade) nasce vinculada a ativo, OS, responsável e instante. Evidência sem vínculo não tem valor probatório.</w:t>
      </w:r>
    </w:p>
    <w:p>
      <w:pPr>
        <w:pStyle w:val="Heading3"/>
      </w:pPr>
      <w:r>
        <w:t xml:space="preserve">PP-04 — Rastreabilidade por padrão</w:t>
      </w:r>
    </w:p>
    <w:p>
      <w:pPr>
        <w:spacing w:after="120"/>
        <w:jc w:val="both"/>
      </w:pPr>
      <w:r>
        <w:t xml:space="preserve">Toda alteração relevante de negócio produz trilha: quem, o quê, quando, de onde, estado anterior e posterior.</w:t>
      </w:r>
    </w:p>
    <w:p>
      <w:pPr>
        <w:pStyle w:val="Heading3"/>
      </w:pPr>
      <w:r>
        <w:t xml:space="preserve">PP-05 — Contrato antes da tela</w:t>
      </w:r>
    </w:p>
    <w:p>
      <w:pPr>
        <w:spacing w:after="120"/>
        <w:jc w:val="both"/>
      </w:pPr>
      <w:r>
        <w:t xml:space="preserve">A API é o contrato do produto para operações de negócio e operações server-side. A interface é um consumidor entre outros.</w:t>
      </w:r>
    </w:p>
    <w:p>
      <w:pPr>
        <w:pStyle w:val="Heading3"/>
      </w:pPr>
      <w:r>
        <w:t xml:space="preserve">PP-06 — Campo em primeiro lugar na experiência</w:t>
      </w:r>
    </w:p>
    <w:p>
      <w:pPr>
        <w:spacing w:after="120"/>
        <w:jc w:val="both"/>
      </w:pPr>
      <w:r>
        <w:t xml:space="preserve">A experiência do técnico de campo — condições adversas, pressa, conectividade instável — define a ergonomia das telas operacionais.</w:t>
      </w:r>
    </w:p>
    <w:p>
      <w:pPr>
        <w:pStyle w:val="Heading3"/>
      </w:pPr>
      <w:r>
        <w:t xml:space="preserve">PP-07 — Configuração acima de código</w:t>
      </w:r>
    </w:p>
    <w:p>
      <w:pPr>
        <w:spacing w:after="120"/>
        <w:jc w:val="both"/>
      </w:pPr>
      <w:r>
        <w:t xml:space="preserve">Diferenças entre clientes da prestadora, contratos e tipos de equipamento são resolvidas por configuração versionada, não por ramificações de código.</w:t>
      </w:r>
    </w:p>
    <w:p>
      <w:pPr>
        <w:pStyle w:val="Heading3"/>
      </w:pPr>
      <w:r>
        <w:t xml:space="preserve">PP-08 — Isolamento inegociável</w:t>
      </w:r>
    </w:p>
    <w:p>
      <w:pPr>
        <w:spacing w:after="120"/>
        <w:jc w:val="both"/>
      </w:pPr>
      <w:r>
        <w:t xml:space="preserve">Nenhuma funcionalidade, otimização ou conveniência pode comprometer a segregação entre tenants.</w:t>
      </w:r>
    </w:p>
    <w:p>
      <w:pPr>
        <w:pStyle w:val="Heading3"/>
      </w:pPr>
      <w:r>
        <w:t xml:space="preserve">PP-09 — Incerteza explícita</w:t>
      </w:r>
    </w:p>
    <w:p>
      <w:pPr>
        <w:spacing w:after="120"/>
        <w:jc w:val="both"/>
      </w:pPr>
      <w:r>
        <w:t xml:space="preserve">O que não se sabe é registrado como hipótese ou questão aberta. Nunca preenchido por suposição plausível.</w:t>
      </w:r>
    </w:p>
    <w:p>
      <w:pPr>
        <w:pStyle w:val="Heading3"/>
      </w:pPr>
      <w:r>
        <w:t xml:space="preserve">PP-10 — Simplicidade defensável</w:t>
      </w:r>
    </w:p>
    <w:p>
      <w:pPr>
        <w:spacing w:after="120"/>
        <w:jc w:val="both"/>
      </w:pPr>
      <w:r>
        <w:t xml:space="preserve">Complexidade arquitetural só entra no sistema com justificativa objetiva e registrada.</w:t>
      </w:r>
    </w:p>
    <w:p>
      <w:pPr>
        <w:pStyle w:val="Heading3"/>
      </w:pPr>
      <w:r>
        <w:t xml:space="preserve">PP-11 — Preparado para evoluir, não pré-construído</w:t>
      </w:r>
    </w:p>
    <w:p>
      <w:pPr>
        <w:spacing w:after="120"/>
        <w:jc w:val="both"/>
      </w:pPr>
      <w:r>
        <w:t xml:space="preserve">Mobile, offline, IoT e IA são antecipados em contratos, identificadores e modelos de dados — não implementados antecipadamente.</w:t>
      </w:r>
    </w:p>
    <w:p>
      <w:pPr>
        <w:pStyle w:val="Heading3"/>
      </w:pPr>
      <w:r>
        <w:t xml:space="preserve">PP-12 — Dados do cliente pertencem ao cliente</w:t>
      </w:r>
    </w:p>
    <w:p>
      <w:pPr>
        <w:spacing w:after="120"/>
        <w:jc w:val="both"/>
      </w:pPr>
      <w:r>
        <w:t xml:space="preserve">Portabilidade, exportação e limites de retenção são requisitos de produto, não concessões.</w:t>
      </w:r>
    </w:p>
    <w:p>
      <w:pPr>
        <w:pStyle w:val="Heading3"/>
      </w:pPr>
      <w:r>
        <w:t xml:space="preserve">PP-13 — Documento emitido preserva seu estado de referência — </w:t>
      </w:r>
      <w:r>
        <w:rPr>
          <w:b/>
          <w:bCs/>
        </w:rPr>
        <w:t xml:space="preserve">novo na v0.2</w:t>
      </w:r>
    </w:p>
    <w:p>
      <w:pPr>
        <w:spacing w:after="120"/>
        <w:jc w:val="both"/>
      </w:pPr>
      <w:r>
        <w:t xml:space="preserve">Um documento emitido (PMOC e equivalentes) não pode mudar de significado porque o cadastro atual mudou depois. A emissão deve preservar, de forma determinável, o estado de referência utilizado: inventário aplicável, versão do plano, versões das regras, referências regulatórias, responsável técnico e instante da emissão. O mecanismo será definido nas Fases 3 e 6 (OQ-020). Este princípio não autoriza, nesta fase, qualquer modelagem de entidade.</w:t>
      </w:r>
    </w:p>
    <w:p>
      <w:pPr>
        <w:pStyle w:val="Heading2"/>
      </w:pPr>
      <w:r>
        <w:t xml:space="preserve">5. Princípios de engenharia derivados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Princípio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Implicação prática imediata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API First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Toda operação de negócio ou server-side exposta pela UI possui contrato documentado em OpenAPI e versionado quando aplicável. Não se cria endpoint artificial para comportamento estritamente local da interface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PE-02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Multi-tenant por construção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Regra semântica e de segurança:</w:t>
            </w:r>
            <w:r>
              <w:t xml:space="preserve"> todo recurso de negócio possui pertencimento inequívoco a um tenant; toda operação resolve e autoriza o escopo do tenant no servidor. </w:t>
            </w:r>
            <w:r>
              <w:rPr>
                <w:b/>
                <w:bCs/>
              </w:rPr>
              <w:t xml:space="preserve">A implementação física é decisão do ADR-001</w:t>
            </w:r>
            <w:r>
              <w:t xml:space="preserve"> e não está prescrita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Idempotência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Operações de escrita sensíveis aceitam chave de idempotência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Identificadores opacos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Sem sequenciais expostos; estratégia definida em ADR-002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Auditabilidade nativa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Trilha de negócio separada de log técnico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PE-06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Modularidade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Módulos com fronteiras explícitas e dependências declaradas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Migração controlada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Toda mudança de esquema versionada e reversível quando viável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PE-08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Observabilidade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Correlation ID propagado ponta a ponta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PE-09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Segurança verificada no servidor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Nenhuma autorização confiada ao cliente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PE-10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Documentação viva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Documento desatualizado é defeito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PE-11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Separação entre capacidade e conteúdo regulatório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 engenharia decide como registrar requisitos; a autoridade competente decide o que registrar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6. Tensões reconhecidas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Tensão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Posição atual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Onde será resolvida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Riqueza funcional × entrega do MVP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Privilegiar ciclo completo e raso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DOC-007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Flexibilidade de configuração × simplicidade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Configurar apenas o que varia comprovadamente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2/3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Isolamento forte × custo operacional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Decisão pendente; nenhuma prescrição física nesta fase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ADR-001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Offline × consistência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Preparar contratos, adiar implementação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ADR-002 / Fase 5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Fidelidade regulatória × incerteza jurídica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Modelar capacidade; não carregar conteúdo não validado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2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Documento vivo × documento histórico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PP-13: emissão preserva estado de referência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Fases 3 e 6 (OQ-020)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API First × pragmatismo de interface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Contrato para operação de negócio; não para comportamento local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 w:before="20"/>
            </w:pPr>
            <w:r>
              <w:t xml:space="preserve">Fase 7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7. Antipadrões que o produto deve evitar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Campos livres substituindo modelagem de domínio.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Relatório como funcionalidade isolada, desconectado do dado operacional.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Requisito regulatório codificado em condicional dentro da aplicação.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Um mesmo parâmetro numérico servindo a regras conceitualmente distintas sem separação explícita.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Upload de imagem sem vínculo semântico.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Permissão implícita por perfil de usuário sem verificação por recurso.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Exceção operacional resolvida por acesso direto ao banco de dados.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Documento histórico que muda de significado por alteração de cadastro posterior.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Decisão de implementação física antecipada dentro de documento conceitual.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Services.NET — DOC-002 v0.2 DRAFT  | 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PMOC Software | Fase 1 | v0.2 DRAFT | Services.NET Phase 1 Audit — Approved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MACIEL LIMA DE JESUS, ALAN</dc:creator>
  <lastModifiedBy>MACIEL LIMA DE JESUS, ALAN</lastModifiedBy>
  <revision>1</revision>
  <dcterms:created xsi:type="dcterms:W3CDTF">2026-09-22T20:35:31.6019133Z</dcterms:created>
  <dcterms:modified xsi:type="dcterms:W3CDTF">2026-09-22T20:35:31.6019133Z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