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DOC-008 — Product Roadmap (visão macro)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DOC-008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0.2 DRAFT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Versão anterior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0.1 DRAFT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Data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Origem das alterações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Services.NET Phase 1 Audit — Approved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Aguardando segunda revisão formal da Services.NET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Natureza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Roadmap </w:t>
            </w:r>
            <w:r>
              <w:rPr>
                <w:b/>
                <w:bCs/>
              </w:rPr>
              <w:t xml:space="preserve">por ondas de valor, sem datas</w:t>
            </w:r>
            <w:r>
              <w:t xml:space="preserve">. Datas dependem de equipe, orçamento e prazo ainda não informados (OQ-007)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Alterações nesta versão:</w:t>
      </w:r>
      <w:r>
        <w:t xml:space="preserve"> ADR-008 reposicionado como pré-requisito de W1 para as partes do sistema que dependem do modelo de Compliance as Data; W4 passa a depender explicitamente de validação jurídica sobre a ABNT NBR 17037 e sobre a distinção Regra A / Regra B; W1 recebe o princípio PP-13 como item de arquitetura a resolver nas Fases 3/6.</w:t>
      </w:r>
    </w:p>
    <w:p>
      <w:pPr>
        <w:pStyle w:val="Heading2"/>
      </w:pPr>
      <w:r>
        <w:t xml:space="preserve">1. Princípio do roadmap</w:t>
      </w:r>
    </w:p>
    <w:p>
      <w:pPr>
        <w:spacing w:after="120"/>
        <w:jc w:val="both"/>
      </w:pPr>
      <w:r>
        <w:t xml:space="preserve">O roadmap é orientado a </w:t>
      </w:r>
      <w:r>
        <w:rPr>
          <w:b/>
          <w:bCs/>
        </w:rPr>
        <w:t xml:space="preserve">resultados e maturidade</w:t>
      </w:r>
      <w:r>
        <w:t xml:space="preserve">, não a calendário. Cada onda possui objetivo, critério de entrada e critério de saída. Nenhuma onda inicia sem que a anterior tenha seus critérios de saída verificados.</w:t>
      </w:r>
    </w:p>
    <w:p>
      <w:pPr>
        <w:pStyle w:val="Heading2"/>
      </w:pPr>
      <w:r>
        <w:t xml:space="preserve">2. Visão macro das ondas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Onda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 central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Concepção e Arquitetura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Documentação das Fases 1 a 10 e ADRs estruturantes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Em curso (Fase 1 — v0.2 em revisão)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 Web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Ciclo operacional completo e raso, com auditoria e PMOC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Planejada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Consolidação Operacional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Indicadores, produtividade, qualidade de dados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Planejada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Mobilidade e Campo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PWA, offline, QR Code, captura assistida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Planejada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Conformidade Ampliada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Cobertura regulatória e avaliação automática de conformidade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Planejada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Ecossistema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Portal do cliente final, integrações, webhooks, exportação BI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Planejada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Inteligência Operacional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Telemetria, analytics, preditivo, recursos assistidos por 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Direcional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 Detalhamento das ondas</w:t>
      </w:r>
    </w:p>
    <w:p>
      <w:pPr>
        <w:pStyle w:val="Heading3"/>
      </w:pPr>
      <w:r>
        <w:t xml:space="preserve">W0 — Concepção e Arquitetura</w:t>
      </w:r>
    </w:p>
    <w:p>
      <w:pPr>
        <w:spacing w:after="120"/>
        <w:jc w:val="both"/>
      </w:pPr>
      <w:r>
        <w:rPr>
          <w:b/>
          <w:bCs/>
        </w:rPr>
        <w:t xml:space="preserve">Objetivo:</w:t>
      </w:r>
      <w:r>
        <w:t xml:space="preserve"> produzir a base documental que permite implementação por engenheiros humanos e agentes.</w:t>
      </w:r>
    </w:p>
    <w:p>
      <w:pPr>
        <w:spacing w:after="120"/>
        <w:jc w:val="both"/>
      </w:pPr>
      <w:r>
        <w:rPr>
          <w:b/>
          <w:bCs/>
        </w:rPr>
        <w:t xml:space="preserve">Conteúdo:</w:t>
      </w:r>
      <w:r>
        <w:t xml:space="preserve"> Fases 1 a 10 do Master Specification; ADRs estruturantes (ver §5).</w:t>
      </w:r>
    </w:p>
    <w:p>
      <w:pPr>
        <w:spacing w:after="120"/>
        <w:jc w:val="both"/>
      </w:pPr>
      <w:r>
        <w:rPr>
          <w:b/>
          <w:bCs/>
        </w:rPr>
        <w:t xml:space="preserve">Critério de saída:</w:t>
      </w:r>
      <w:r>
        <w:t xml:space="preserve"> artefatos aprovados; ADRs estruturantes decididos; Definition of Ready aplicável ao backlog inicial.</w:t>
      </w:r>
    </w:p>
    <w:p>
      <w:pPr>
        <w:pStyle w:val="Heading3"/>
      </w:pPr>
      <w:r>
        <w:t xml:space="preserve">W1 — MVP Web</w:t>
      </w:r>
    </w:p>
    <w:p>
      <w:pPr>
        <w:spacing w:after="120"/>
        <w:jc w:val="both"/>
      </w:pPr>
      <w:r>
        <w:rPr>
          <w:b/>
          <w:bCs/>
        </w:rPr>
        <w:t xml:space="preserve">Objetivo:</w:t>
      </w:r>
      <w:r>
        <w:t xml:space="preserve"> operar o ciclo real do cliente-piloto pelo navegador.</w:t>
      </w:r>
    </w:p>
    <w:p>
      <w:pPr>
        <w:spacing w:after="120"/>
        <w:jc w:val="both"/>
      </w:pPr>
      <w:r>
        <w:rPr>
          <w:b/>
          <w:bCs/>
        </w:rPr>
        <w:t xml:space="preserve">Conteúdo:</w:t>
      </w:r>
      <w:r>
        <w:t xml:space="preserve"> as 50 capacidades listadas em DOC-007 §3, com a ressalva de conformidade do DOC-007 §3.1.</w:t>
      </w:r>
    </w:p>
    <w:p>
      <w:pPr>
        <w:spacing w:after="120"/>
        <w:jc w:val="both"/>
      </w:pPr>
      <w:r>
        <w:rPr>
          <w:b/>
          <w:bCs/>
        </w:rPr>
        <w:t xml:space="preserve">Critério de entrada:</w:t>
      </w:r>
      <w:r>
        <w:t xml:space="preserve"> W0 aprovado; </w:t>
      </w:r>
      <w:r>
        <w:rPr>
          <w:b/>
          <w:bCs/>
        </w:rPr>
        <w:t xml:space="preserve">ADR-001, ADR-002 e ADR-008 decididos</w:t>
      </w:r>
      <w:r>
        <w:t xml:space="preserve"> (ADR-008 é pré-requisito das partes do sistema que dependem do modelo de Compliance as Data — CAP-030 a CAP-034 e CAP-037); cliente-piloto confirmado; mecanismo de preservação do estado de referência do PMOC (PP-13) resolvido nas Fases 3 e 6.</w:t>
      </w:r>
    </w:p>
    <w:p>
      <w:pPr>
        <w:spacing w:after="120"/>
        <w:jc w:val="both"/>
      </w:pPr>
      <w:r>
        <w:rPr>
          <w:b/>
          <w:bCs/>
        </w:rPr>
        <w:t xml:space="preserve">Critério de saída:</w:t>
      </w:r>
      <w:r>
        <w:t xml:space="preserve"> AC-MVP-01 a AC-MVP-11 verificados; piloto em operação real.</w:t>
      </w:r>
    </w:p>
    <w:p>
      <w:pPr>
        <w:pStyle w:val="Heading3"/>
      </w:pPr>
      <w:r>
        <w:t xml:space="preserve">W2 — Consolidação Operacional</w:t>
      </w:r>
    </w:p>
    <w:p>
      <w:pPr>
        <w:spacing w:after="120"/>
        <w:jc w:val="both"/>
      </w:pPr>
      <w:r>
        <w:rPr>
          <w:b/>
          <w:bCs/>
        </w:rPr>
        <w:t xml:space="preserve">Objetivo:</w:t>
      </w:r>
      <w:r>
        <w:t xml:space="preserve"> transformar dado operacional em gestão.</w:t>
      </w:r>
    </w:p>
    <w:p>
      <w:pPr>
        <w:spacing w:after="120"/>
        <w:jc w:val="both"/>
      </w:pPr>
      <w:r>
        <w:rPr>
          <w:b/>
          <w:bCs/>
        </w:rPr>
        <w:t xml:space="preserve">Conteúdo:</w:t>
      </w:r>
      <w:r>
        <w:t xml:space="preserve"> CAP-083, CAP-064, CAP-023, CAP-025, CAP-102, CAP-093, CAP-094, CAP-075.</w:t>
      </w:r>
    </w:p>
    <w:p>
      <w:pPr>
        <w:spacing w:after="120"/>
        <w:jc w:val="both"/>
      </w:pPr>
      <w:r>
        <w:rPr>
          <w:b/>
          <w:bCs/>
        </w:rPr>
        <w:t xml:space="preserve">Critério de entrada:</w:t>
      </w:r>
      <w:r>
        <w:t xml:space="preserve"> volume de dados suficiente do piloto.</w:t>
      </w:r>
    </w:p>
    <w:p>
      <w:pPr>
        <w:spacing w:after="120"/>
        <w:jc w:val="both"/>
      </w:pPr>
      <w:r>
        <w:rPr>
          <w:b/>
          <w:bCs/>
        </w:rPr>
        <w:t xml:space="preserve">Critério de saída:</w:t>
      </w:r>
      <w:r>
        <w:t xml:space="preserve"> indicadores usados na rotina de gestão do tenant.</w:t>
      </w:r>
    </w:p>
    <w:p>
      <w:pPr>
        <w:pStyle w:val="Heading3"/>
      </w:pPr>
      <w:r>
        <w:t xml:space="preserve">W3 — Mobilidade e Campo</w:t>
      </w:r>
    </w:p>
    <w:p>
      <w:pPr>
        <w:spacing w:after="120"/>
        <w:jc w:val="both"/>
      </w:pPr>
      <w:r>
        <w:rPr>
          <w:b/>
          <w:bCs/>
        </w:rPr>
        <w:t xml:space="preserve">Objetivo:</w:t>
      </w:r>
      <w:r>
        <w:t xml:space="preserve"> capturar o dado na origem, mesmo sem conectividade.</w:t>
      </w:r>
    </w:p>
    <w:p>
      <w:pPr>
        <w:spacing w:after="120"/>
        <w:jc w:val="both"/>
      </w:pPr>
      <w:r>
        <w:rPr>
          <w:b/>
          <w:bCs/>
        </w:rPr>
        <w:t xml:space="preserve">Conteúdo:</w:t>
      </w:r>
      <w:r>
        <w:t xml:space="preserve"> PWA; execução offline com sincronização (CAP-056); QR Code (CAP-026, CAP-057); avaliação de CAP-054 e CAP-058 conforme parecer jurídico (STK-007) e do DPO (STK-021).</w:t>
      </w:r>
    </w:p>
    <w:p>
      <w:pPr>
        <w:spacing w:after="120"/>
        <w:jc w:val="both"/>
      </w:pPr>
      <w:r>
        <w:rPr>
          <w:b/>
          <w:bCs/>
        </w:rPr>
        <w:t xml:space="preserve">Critério de entrada:</w:t>
      </w:r>
      <w:r>
        <w:t xml:space="preserve"> contratos idempotentes, identificadores cliente-geradores e resolução de conflito definidos em ADR-002.</w:t>
      </w:r>
    </w:p>
    <w:p>
      <w:pPr>
        <w:spacing w:after="120"/>
        <w:jc w:val="both"/>
      </w:pPr>
      <w:r>
        <w:rPr>
          <w:b/>
          <w:bCs/>
        </w:rPr>
        <w:t xml:space="preserve">Critério de saída:</w:t>
      </w:r>
      <w:r>
        <w:t xml:space="preserve"> execução completa de OS offline com sincronização sem perda ou duplicidade.</w:t>
      </w:r>
    </w:p>
    <w:p>
      <w:pPr>
        <w:pStyle w:val="Heading3"/>
      </w:pPr>
      <w:r>
        <w:t xml:space="preserve">W4 — Conformidade Ampliada</w:t>
      </w:r>
    </w:p>
    <w:p>
      <w:pPr>
        <w:spacing w:after="120"/>
        <w:jc w:val="both"/>
      </w:pPr>
      <w:r>
        <w:rPr>
          <w:b/>
          <w:bCs/>
        </w:rPr>
        <w:t xml:space="preserve">Objetivo:</w:t>
      </w:r>
      <w:r>
        <w:t xml:space="preserve"> ampliar a cobertura de Compliance as Data e automatizar verificação.</w:t>
      </w:r>
    </w:p>
    <w:p>
      <w:pPr>
        <w:spacing w:after="120"/>
        <w:jc w:val="both"/>
      </w:pPr>
      <w:r>
        <w:rPr>
          <w:b/>
          <w:bCs/>
        </w:rPr>
        <w:t xml:space="preserve">Conteúdo:</w:t>
      </w:r>
      <w:r>
        <w:t xml:space="preserve"> CAP-035 com as regras A e B modeladas separadamente (DOC-001 §5.3); CAP-038; CAP-095; carga de conteúdo regulatório validado.</w:t>
      </w:r>
    </w:p>
    <w:p>
      <w:pPr>
        <w:spacing w:after="120"/>
        <w:jc w:val="both"/>
      </w:pPr>
      <w:r>
        <w:rPr>
          <w:b/>
          <w:bCs/>
        </w:rPr>
        <w:t xml:space="preserve">Critério de entrada:</w:t>
      </w:r>
      <w:r>
        <w:t xml:space="preserve"> parecer jurídico sobre a aplicabilidade da ABNT NBR 17037 e sobre a Portaria GM/MS nº 3.523/1998 (OQ-004, OQ-012, OQ-021); normas adquiridas legitimamente (DEP-003); parecer de responsável técnico (DEP-002).</w:t>
      </w:r>
    </w:p>
    <w:p>
      <w:pPr>
        <w:spacing w:after="120"/>
        <w:jc w:val="both"/>
      </w:pPr>
      <w:r>
        <w:rPr>
          <w:b/>
          <w:bCs/>
        </w:rPr>
        <w:t xml:space="preserve">Critério de saída:</w:t>
      </w:r>
      <w:r>
        <w:t xml:space="preserve"> mudança normativa absorvida por dado versionado, sem alteração de código.</w:t>
      </w:r>
    </w:p>
    <w:p>
      <w:pPr>
        <w:pStyle w:val="Heading3"/>
      </w:pPr>
      <w:r>
        <w:t xml:space="preserve">W5 — Ecossistema</w:t>
      </w:r>
    </w:p>
    <w:p>
      <w:pPr>
        <w:spacing w:after="120"/>
        <w:jc w:val="both"/>
      </w:pPr>
      <w:r>
        <w:rPr>
          <w:b/>
          <w:bCs/>
        </w:rPr>
        <w:t xml:space="preserve">Objetivo:</w:t>
      </w:r>
      <w:r>
        <w:t xml:space="preserve"> abrir a plataforma para clientes finais e sistemas terceiros.</w:t>
      </w:r>
    </w:p>
    <w:p>
      <w:pPr>
        <w:spacing w:after="120"/>
        <w:jc w:val="both"/>
      </w:pPr>
      <w:r>
        <w:rPr>
          <w:b/>
          <w:bCs/>
        </w:rPr>
        <w:t xml:space="preserve">Conteúdo:</w:t>
      </w:r>
      <w:r>
        <w:t xml:space="preserve"> CAP-008, CAP-074, CAP-103, CAP-085, CAP-105, CAP-007.</w:t>
      </w:r>
    </w:p>
    <w:p>
      <w:pPr>
        <w:spacing w:after="120"/>
        <w:jc w:val="both"/>
      </w:pPr>
      <w:r>
        <w:rPr>
          <w:b/>
          <w:bCs/>
        </w:rPr>
        <w:t xml:space="preserve">Critério de entrada:</w:t>
      </w:r>
      <w:r>
        <w:t xml:space="preserve"> API estável, versionada e com política de compatibilidade em vigor.</w:t>
      </w:r>
    </w:p>
    <w:p>
      <w:pPr>
        <w:spacing w:after="120"/>
        <w:jc w:val="both"/>
      </w:pPr>
      <w:r>
        <w:rPr>
          <w:b/>
          <w:bCs/>
        </w:rPr>
        <w:t xml:space="preserve">Critério de saída:</w:t>
      </w:r>
      <w:r>
        <w:t xml:space="preserve"> ao menos uma integração externa em produção.</w:t>
      </w:r>
    </w:p>
    <w:p>
      <w:pPr>
        <w:pStyle w:val="Heading3"/>
      </w:pPr>
      <w:r>
        <w:t xml:space="preserve">W6 — Inteligência Operacional</w:t>
      </w:r>
    </w:p>
    <w:p>
      <w:pPr>
        <w:spacing w:after="120"/>
        <w:jc w:val="both"/>
      </w:pPr>
      <w:r>
        <w:rPr>
          <w:b/>
          <w:bCs/>
        </w:rPr>
        <w:t xml:space="preserve">Objetivo:</w:t>
      </w:r>
      <w:r>
        <w:t xml:space="preserve"> antecipar falha e otimizar operação.</w:t>
      </w:r>
    </w:p>
    <w:p>
      <w:pPr>
        <w:spacing w:after="120"/>
        <w:jc w:val="both"/>
      </w:pPr>
      <w:r>
        <w:rPr>
          <w:b/>
          <w:bCs/>
        </w:rPr>
        <w:t xml:space="preserve">Conteúdo:</w:t>
      </w:r>
      <w:r>
        <w:t xml:space="preserve"> CAP-106, CAP-086, analytics, automações e recursos assistidos por IA.</w:t>
      </w:r>
    </w:p>
    <w:p>
      <w:pPr>
        <w:spacing w:after="120"/>
        <w:jc w:val="both"/>
      </w:pPr>
      <w:r>
        <w:rPr>
          <w:b/>
          <w:bCs/>
        </w:rPr>
        <w:t xml:space="preserve">Critério de entrada:</w:t>
      </w:r>
      <w:r>
        <w:t xml:space="preserve"> massa de dados histórica representativa e qualidade de dados comprovada.</w:t>
      </w:r>
    </w:p>
    <w:p>
      <w:pPr>
        <w:spacing w:after="120"/>
        <w:jc w:val="both"/>
      </w:pPr>
      <w:r>
        <w:rPr>
          <w:b/>
          <w:bCs/>
        </w:rPr>
        <w:t xml:space="preserve">Critério de saída:</w:t>
      </w:r>
      <w:r>
        <w:t xml:space="preserve"> a definir.</w:t>
      </w:r>
    </w:p>
    <w:p>
      <w:pPr>
        <w:pStyle w:val="Heading2"/>
      </w:pPr>
      <w:r>
        <w:t xml:space="preserve">4. Dependências entre ondas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Dependência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W1 → W0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Nenhum código antes de ADRs estruturantes decididos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W1 → ADR-008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Partes dependentes do modelo de Compliance as Data não iniciam antes da decisão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W3 → W1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Offline exige modelo de dados e API estáveis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W4 → externo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Depende de validação jurídica, do responsável técnico e de aquisição das normas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W5 → W1/W2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Exposição externa exige contrato estável e dados confiáveis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W6 → W2/W3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Preditivo exige histórico capturado na origem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 Sequenciamento dos ADRs estruturantes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Assunto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 prevista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Pré-requisito de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ADR-001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Modelo de isolamento multi-tenant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Todo W1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ADR-002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Estratégia de identificadores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W1 e W3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ADR-003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Stack de back-end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W1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ADR-004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Stack de front-end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W1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ADR-005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Armazenamento de evidências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5/6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CAP-070 a CAP-073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ADR-006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Modelo de auditoria de negócio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CAP-090 a CAP-092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ADR-007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Versionamento de API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CAP-100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ADR-008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Modelo de dados de Compliance as Data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Fase 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CAP-030 a CAP-035, CAP-037, CAP-038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Nenhum ADR foi decidido nesta fase. O conteúdo do ADR-008 </w:t>
      </w:r>
      <w:r>
        <w:rPr>
          <w:b/>
          <w:bCs/>
        </w:rPr>
        <w:t xml:space="preserve">não</w:t>
      </w:r>
      <w:r>
        <w:t xml:space="preserve"> é antecipado aqui; apenas sua posição na sequência de dependências.</w:t>
      </w:r>
    </w:p>
    <w:p>
      <w:pPr>
        <w:pStyle w:val="Heading2"/>
      </w:pPr>
      <w:r>
        <w:t xml:space="preserve">6. Marcos de governança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Marco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Aprovação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1 aprovada (após segunda revisão formal)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Patrocinador e Product Owner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ADRs estruturantes decididos, incluindo ADR-008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Principal Architect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Definition of Ready atingida para o backlog do 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Product Owner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Go-live do piloto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Patrocinador, PO, Segurança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Encerramento formal do 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Patrocinador e PO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Decisão de comercialização e nome do produto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Patrocinador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 Itens deliberadamente não agendados</w:t>
      </w:r>
    </w:p>
    <w:p>
      <w:pPr>
        <w:spacing w:after="120"/>
        <w:jc w:val="both"/>
      </w:pPr>
      <w:r>
        <w:t xml:space="preserve">Nome comercial definitivo; modelo de precificação; expansão para outros domínios regulatórios; internacionalização; certificações formais de segurança; estimativas de prazo e custo. Todos permanecem em aberto até decisão do patrocinador e disponibilidade de dados.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Services.NET — DOC-008 v0.2 DRAFT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PMOC Software | Fase 1 | v0.2 DRAFT | Services.NET Phase 1 Audit — Approved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MACIEL LIMA DE JESUS, ALAN</dc:creator>
  <lastModifiedBy>MACIEL LIMA DE JESUS, ALAN</lastModifiedBy>
  <revision>1</revision>
  <dcterms:created xsi:type="dcterms:W3CDTF">2026-09-22T20:35:40.2605725Z</dcterms:created>
  <dcterms:modified xsi:type="dcterms:W3CDTF">2026-09-22T20:35:40.2605725Z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