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DOC-009 — Requirements Discovery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5040"/>
          </w:tcPr>
          <w:p>
            <w:r>
              <w:t>PMOC Software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Organização proprietária</w:t>
            </w:r>
          </w:p>
        </w:tc>
        <w:tc>
          <w:tcPr>
            <w:tcW w:type="dxa" w:w="5040"/>
          </w:tcPr>
          <w:p>
            <w:r>
              <w:t>Services.NET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040"/>
          </w:tcPr>
          <w:p>
            <w:r>
              <w:t>2 — Levantamento completo de requisitos e regras do PMOC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Artefato</w:t>
            </w:r>
          </w:p>
        </w:tc>
        <w:tc>
          <w:tcPr>
            <w:tcW w:type="dxa" w:w="5040"/>
          </w:tcPr>
          <w:p>
            <w:r>
              <w:t>DOC-009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040"/>
          </w:tcPr>
          <w:p>
            <w:r>
              <w:t>v0.1-DRAFT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t>23/09/2026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5040"/>
          </w:tcPr>
          <w:p>
            <w:r>
              <w:t>Codex — documentação, estruturação e preparação de descoberta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DRAFT — Fase 2 Discovery Preparation. Nenhuma entrevista presumida ou executada.</w:t>
            </w:r>
          </w:p>
        </w:tc>
      </w:tr>
    </w:tbl>
    <w:p/>
    <w:p>
      <w:r>
        <w:rPr>
          <w:b/>
        </w:rPr>
        <w:t xml:space="preserve">Aviso de governança. </w:t>
      </w:r>
      <w:r>
        <w:t>Este documento prepara a elicitação da Fase 2. Ele não aprova requisitos, não registra respostas da Clima Zero, não decide arquitetura e não substitui validação jurídica, técnica, DPO ou aprovação formal da Services.NET.</w:t>
      </w:r>
    </w:p>
    <w:p>
      <w:pPr>
        <w:pStyle w:val="Heading1"/>
      </w:pPr>
      <w:r>
        <w:t>1. Objetivo</w:t>
      </w:r>
    </w:p>
    <w:p>
      <w:r>
        <w:t>Organizar a preparação da elicitação da Fase 2 para transformar a visão aprovada na Fase 1 em requisitos completos, rastreáveis, verificáveis e defensáveis, sem presumir respostas do tenant-piloto e sem antecipar decisões de arquitetura ou implementação.</w:t>
      </w:r>
    </w:p>
    <w:p>
      <w:pPr>
        <w:pStyle w:val="Heading1"/>
      </w:pPr>
      <w:r>
        <w:t>2. Escopo desta preparação</w:t>
      </w:r>
    </w:p>
    <w:p>
      <w:pPr>
        <w:pStyle w:val="ListBullet"/>
      </w:pPr>
      <w:r>
        <w:t>Preparar roteiros, templates e registros estruturados para entrevistas e análise documental.</w:t>
      </w:r>
    </w:p>
    <w:p>
      <w:pPr>
        <w:pStyle w:val="ListBullet"/>
      </w:pPr>
      <w:r>
        <w:t>Iniciar desk research regulatório com fontes oficiais e registrar incertezas.</w:t>
      </w:r>
    </w:p>
    <w:p>
      <w:pPr>
        <w:pStyle w:val="ListBullet"/>
      </w:pPr>
      <w:r>
        <w:t>Preparar a RTM para expansão da Fase 2.</w:t>
      </w:r>
    </w:p>
    <w:p>
      <w:pPr>
        <w:pStyle w:val="ListBullet"/>
      </w:pPr>
      <w:r>
        <w:t>Registrar questões abertas, riscos, dependências e decisões propostas necessárias antes das entrevistas.</w:t>
      </w:r>
    </w:p>
    <w:p>
      <w:pPr>
        <w:pStyle w:val="ListBullet"/>
      </w:pPr>
      <w:r>
        <w:t>Submeter o pacote de preparação à revisão da Services.NET antes da elicitação com a Clima Zero.</w:t>
      </w:r>
    </w:p>
    <w:p>
      <w:pPr>
        <w:pStyle w:val="Heading1"/>
      </w:pPr>
      <w:r>
        <w:t>3. Fora de escopo</w:t>
      </w:r>
    </w:p>
    <w:p>
      <w:pPr>
        <w:pStyle w:val="ListBullet"/>
      </w:pPr>
      <w:r>
        <w:t>Executar entrevistas ou registrar respostas em nome da Clima Zero.</w:t>
      </w:r>
    </w:p>
    <w:p>
      <w:pPr>
        <w:pStyle w:val="ListBullet"/>
      </w:pPr>
      <w:r>
        <w:t>Produzir catálogo final de requisitos ou backlog de implementação.</w:t>
      </w:r>
    </w:p>
    <w:p>
      <w:pPr>
        <w:pStyle w:val="ListBullet"/>
      </w:pPr>
      <w:r>
        <w:t>Escolher arquitetura, stack, banco de dados, cloud, ERD, API final ou telas finais.</w:t>
      </w:r>
    </w:p>
    <w:p>
      <w:pPr>
        <w:pStyle w:val="ListBullet"/>
      </w:pPr>
      <w:r>
        <w:t>Carregar parâmetros, limites, faixas ou periodicidades normativas sem validação jurídica e técnica.</w:t>
      </w:r>
    </w:p>
    <w:p>
      <w:pPr>
        <w:pStyle w:val="ListBullet"/>
      </w:pPr>
      <w:r>
        <w:t>Marcar requisitos como Approved sem autorização formal da Services.NET.</w:t>
      </w:r>
    </w:p>
    <w:p>
      <w:pPr>
        <w:pStyle w:val="Heading1"/>
      </w:pPr>
      <w:r>
        <w:t>4. Fontes 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Uso na Fase 2</w:t>
            </w:r>
          </w:p>
        </w:tc>
      </w:tr>
      <w:tr>
        <w:tc>
          <w:tcPr>
            <w:tcW w:type="dxa" w:w="3360"/>
            <w:vAlign w:val="top"/>
          </w:tcPr>
          <w:p>
            <w:r>
              <w:t>S1</w:t>
            </w:r>
          </w:p>
        </w:tc>
        <w:tc>
          <w:tcPr>
            <w:tcW w:type="dxa" w:w="3360"/>
            <w:vAlign w:val="top"/>
          </w:tcPr>
          <w:p>
            <w:r>
              <w:t>Fonte regulatória oficial</w:t>
            </w:r>
          </w:p>
        </w:tc>
        <w:tc>
          <w:tcPr>
            <w:tcW w:type="dxa" w:w="3360"/>
            <w:vAlign w:val="top"/>
          </w:tcPr>
          <w:p>
            <w:r>
              <w:t>Leis, portarias, resoluções e atos oficiais. Usar URL oficial, data de consulta, status e necessidade de parecer.</w:t>
            </w:r>
          </w:p>
        </w:tc>
      </w:tr>
      <w:tr>
        <w:tc>
          <w:tcPr>
            <w:tcW w:type="dxa" w:w="3360"/>
            <w:vAlign w:val="top"/>
          </w:tcPr>
          <w:p>
            <w:r>
              <w:t>S2</w:t>
            </w:r>
          </w:p>
        </w:tc>
        <w:tc>
          <w:tcPr>
            <w:tcW w:type="dxa" w:w="3360"/>
            <w:vAlign w:val="top"/>
          </w:tcPr>
          <w:p>
            <w:r>
              <w:t>Norma técnica</w:t>
            </w:r>
          </w:p>
        </w:tc>
        <w:tc>
          <w:tcPr>
            <w:tcW w:type="dxa" w:w="3360"/>
            <w:vAlign w:val="top"/>
          </w:tcPr>
          <w:p>
            <w:r>
              <w:t>Referenciar sem reproduzir conteúdo protegido. Registrar edição, status, aquisição legítima e validação técnica.</w:t>
            </w:r>
          </w:p>
        </w:tc>
      </w:tr>
      <w:tr>
        <w:tc>
          <w:tcPr>
            <w:tcW w:type="dxa" w:w="3360"/>
            <w:vAlign w:val="top"/>
          </w:tcPr>
          <w:p>
            <w:r>
              <w:t>S3</w:t>
            </w:r>
          </w:p>
        </w:tc>
        <w:tc>
          <w:tcPr>
            <w:tcW w:type="dxa" w:w="3360"/>
            <w:vAlign w:val="top"/>
          </w:tcPr>
          <w:p>
            <w:r>
              <w:t>Tenant-piloto</w:t>
            </w:r>
          </w:p>
        </w:tc>
        <w:tc>
          <w:tcPr>
            <w:tcW w:type="dxa" w:w="3360"/>
            <w:vAlign w:val="top"/>
          </w:tcPr>
          <w:p>
            <w:r>
              <w:t>Processo real, formulários, documentos, evidências e práticas da Clima Zero. Nunca inventar.</w:t>
            </w:r>
          </w:p>
        </w:tc>
      </w:tr>
      <w:tr>
        <w:tc>
          <w:tcPr>
            <w:tcW w:type="dxa" w:w="3360"/>
            <w:vAlign w:val="top"/>
          </w:tcPr>
          <w:p>
            <w:r>
              <w:t>S4</w:t>
            </w:r>
          </w:p>
        </w:tc>
        <w:tc>
          <w:tcPr>
            <w:tcW w:type="dxa" w:w="3360"/>
            <w:vAlign w:val="top"/>
          </w:tcPr>
          <w:p>
            <w:r>
              <w:t>Services.NET</w:t>
            </w:r>
          </w:p>
        </w:tc>
        <w:tc>
          <w:tcPr>
            <w:tcW w:type="dxa" w:w="3360"/>
            <w:vAlign w:val="top"/>
          </w:tcPr>
          <w:p>
            <w:r>
              <w:t>Estratégia, escopo comercial, princípios, decisões e governança já aprovados.</w:t>
            </w:r>
          </w:p>
        </w:tc>
      </w:tr>
      <w:tr>
        <w:tc>
          <w:tcPr>
            <w:tcW w:type="dxa" w:w="3360"/>
            <w:vAlign w:val="top"/>
          </w:tcPr>
          <w:p>
            <w:r>
              <w:t>S5</w:t>
            </w:r>
          </w:p>
        </w:tc>
        <w:tc>
          <w:tcPr>
            <w:tcW w:type="dxa" w:w="3360"/>
            <w:vAlign w:val="top"/>
          </w:tcPr>
          <w:p>
            <w:r>
              <w:t>Hipótese</w:t>
            </w:r>
          </w:p>
        </w:tc>
        <w:tc>
          <w:tcPr>
            <w:tcW w:type="dxa" w:w="3360"/>
            <w:vAlign w:val="top"/>
          </w:tcPr>
          <w:p>
            <w:r>
              <w:t>Informação ainda não confirmada. Deve gerar pergunta, risco ou dependência.</w:t>
            </w:r>
          </w:p>
        </w:tc>
      </w:tr>
    </w:tbl>
    <w:p>
      <w:pPr>
        <w:pStyle w:val="Heading1"/>
      </w:pPr>
      <w:r>
        <w:t>5. Stakeholders previstos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Papel na Fase 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60"/>
            <w:vAlign w:val="top"/>
          </w:tcPr>
          <w:p>
            <w:r>
              <w:t>Services.NET / Sponsor</w:t>
            </w:r>
          </w:p>
        </w:tc>
        <w:tc>
          <w:tcPr>
            <w:tcW w:type="dxa" w:w="3360"/>
            <w:vAlign w:val="top"/>
          </w:tcPr>
          <w:p>
            <w:r>
              <w:t>Autoridade de revisão e priorização institucional</w:t>
            </w:r>
          </w:p>
        </w:tc>
        <w:tc>
          <w:tcPr>
            <w:tcW w:type="dxa" w:w="3360"/>
            <w:vAlign w:val="top"/>
          </w:tcPr>
          <w:p>
            <w:r>
              <w:t>Autorização para iniciar entrevistas e decisões de governança.</w:t>
            </w:r>
          </w:p>
        </w:tc>
      </w:tr>
      <w:tr>
        <w:tc>
          <w:tcPr>
            <w:tcW w:type="dxa" w:w="3360"/>
            <w:vAlign w:val="top"/>
          </w:tcPr>
          <w:p>
            <w:r>
              <w:t>Product Owner institucional</w:t>
            </w:r>
          </w:p>
        </w:tc>
        <w:tc>
          <w:tcPr>
            <w:tcW w:type="dxa" w:w="3360"/>
            <w:vAlign w:val="top"/>
          </w:tcPr>
          <w:p>
            <w:r>
              <w:t>Controle de escopo e validação do pacote de preparação</w:t>
            </w:r>
          </w:p>
        </w:tc>
        <w:tc>
          <w:tcPr>
            <w:tcW w:type="dxa" w:w="3360"/>
            <w:vAlign w:val="top"/>
          </w:tcPr>
          <w:p>
            <w:r>
              <w:t>Critérios de aceite da descoberta e priorização.</w:t>
            </w:r>
          </w:p>
        </w:tc>
      </w:tr>
      <w:tr>
        <w:tc>
          <w:tcPr>
            <w:tcW w:type="dxa" w:w="3360"/>
            <w:vAlign w:val="top"/>
          </w:tcPr>
          <w:p>
            <w:r>
              <w:t>Clima Zero — direção</w:t>
            </w:r>
          </w:p>
        </w:tc>
        <w:tc>
          <w:tcPr>
            <w:tcW w:type="dxa" w:w="3360"/>
            <w:vAlign w:val="top"/>
          </w:tcPr>
          <w:p>
            <w:r>
              <w:t>Fonte de contexto operacional e negócio</w:t>
            </w:r>
          </w:p>
        </w:tc>
        <w:tc>
          <w:tcPr>
            <w:tcW w:type="dxa" w:w="3360"/>
            <w:vAlign w:val="top"/>
          </w:tcPr>
          <w:p>
            <w:r>
              <w:t>Estrutura, contratos, prioridades, dores e expectativas.</w:t>
            </w:r>
          </w:p>
        </w:tc>
      </w:tr>
      <w:tr>
        <w:tc>
          <w:tcPr>
            <w:tcW w:type="dxa" w:w="3360"/>
            <w:vAlign w:val="top"/>
          </w:tcPr>
          <w:p>
            <w:r>
              <w:t>Clima Zero — gestor operacional</w:t>
            </w:r>
          </w:p>
        </w:tc>
        <w:tc>
          <w:tcPr>
            <w:tcW w:type="dxa" w:w="3360"/>
            <w:vAlign w:val="top"/>
          </w:tcPr>
          <w:p>
            <w:r>
              <w:t>Fonte do fluxo ponta a ponta</w:t>
            </w:r>
          </w:p>
        </w:tc>
        <w:tc>
          <w:tcPr>
            <w:tcW w:type="dxa" w:w="3360"/>
            <w:vAlign w:val="top"/>
          </w:tcPr>
          <w:p>
            <w:r>
              <w:t>Processos, volumetria, agenda, exceções e indicadores.</w:t>
            </w:r>
          </w:p>
        </w:tc>
      </w:tr>
      <w:tr>
        <w:tc>
          <w:tcPr>
            <w:tcW w:type="dxa" w:w="3360"/>
            <w:vAlign w:val="top"/>
          </w:tcPr>
          <w:p>
            <w:r>
              <w:t>Responsável técnico</w:t>
            </w:r>
          </w:p>
        </w:tc>
        <w:tc>
          <w:tcPr>
            <w:tcW w:type="dxa" w:w="3360"/>
            <w:vAlign w:val="top"/>
          </w:tcPr>
          <w:p>
            <w:r>
              <w:t>Fonte técnica e validação de práticas profissionais</w:t>
            </w:r>
          </w:p>
        </w:tc>
        <w:tc>
          <w:tcPr>
            <w:tcW w:type="dxa" w:w="3360"/>
            <w:vAlign w:val="top"/>
          </w:tcPr>
          <w:p>
            <w:r>
              <w:t>Critérios, procedimentos, documentos, ART/TRT e evidências.</w:t>
            </w:r>
          </w:p>
        </w:tc>
      </w:tr>
      <w:tr>
        <w:tc>
          <w:tcPr>
            <w:tcW w:type="dxa" w:w="3360"/>
            <w:vAlign w:val="top"/>
          </w:tcPr>
          <w:p>
            <w:r>
              <w:t>Técnicos de campo</w:t>
            </w:r>
          </w:p>
        </w:tc>
        <w:tc>
          <w:tcPr>
            <w:tcW w:type="dxa" w:w="3360"/>
            <w:vAlign w:val="top"/>
          </w:tcPr>
          <w:p>
            <w:r>
              <w:t>Fonte da execução real</w:t>
            </w:r>
          </w:p>
        </w:tc>
        <w:tc>
          <w:tcPr>
            <w:tcW w:type="dxa" w:w="3360"/>
            <w:vAlign w:val="top"/>
          </w:tcPr>
          <w:p>
            <w:r>
              <w:t>Fluxo da OS, coleta de dados, fotos, medições, conectividade e dificuldades.</w:t>
            </w:r>
          </w:p>
        </w:tc>
      </w:tr>
      <w:tr>
        <w:tc>
          <w:tcPr>
            <w:tcW w:type="dxa" w:w="3360"/>
            <w:vAlign w:val="top"/>
          </w:tcPr>
          <w:p>
            <w:r>
              <w:t>Administrativo / back-office</w:t>
            </w:r>
          </w:p>
        </w:tc>
        <w:tc>
          <w:tcPr>
            <w:tcW w:type="dxa" w:w="3360"/>
            <w:vAlign w:val="top"/>
          </w:tcPr>
          <w:p>
            <w:r>
              <w:t>Fonte de cadastro, documentos, agenda e arquivo</w:t>
            </w:r>
          </w:p>
        </w:tc>
        <w:tc>
          <w:tcPr>
            <w:tcW w:type="dxa" w:w="3360"/>
            <w:vAlign w:val="top"/>
          </w:tcPr>
          <w:p>
            <w:r>
              <w:t>Dados, planilhas, contratos, relatórios e cobrança relacionada.</w:t>
            </w:r>
          </w:p>
        </w:tc>
      </w:tr>
      <w:tr>
        <w:tc>
          <w:tcPr>
            <w:tcW w:type="dxa" w:w="3360"/>
            <w:vAlign w:val="top"/>
          </w:tcPr>
          <w:p>
            <w:r>
              <w:t>Jurídico / Regulatório</w:t>
            </w:r>
          </w:p>
        </w:tc>
        <w:tc>
          <w:tcPr>
            <w:tcW w:type="dxa" w:w="3360"/>
            <w:vAlign w:val="top"/>
          </w:tcPr>
          <w:p>
            <w:r>
              <w:t>Validação de vigência e aplicabilidade</w:t>
            </w:r>
          </w:p>
        </w:tc>
        <w:tc>
          <w:tcPr>
            <w:tcW w:type="dxa" w:w="3360"/>
            <w:vAlign w:val="top"/>
          </w:tcPr>
          <w:p>
            <w:r>
              <w:t>Parecer sobre requisitos legais, Regra A, Regra B e valor probatório.</w:t>
            </w:r>
          </w:p>
        </w:tc>
      </w:tr>
      <w:tr>
        <w:tc>
          <w:tcPr>
            <w:tcW w:type="dxa" w:w="3360"/>
            <w:vAlign w:val="top"/>
          </w:tcPr>
          <w:p>
            <w:r>
              <w:t>DPO / Encarregado</w:t>
            </w:r>
          </w:p>
        </w:tc>
        <w:tc>
          <w:tcPr>
            <w:tcW w:type="dxa" w:w="3360"/>
            <w:vAlign w:val="top"/>
          </w:tcPr>
          <w:p>
            <w:r>
              <w:t>Validação LGPD e privacidade</w:t>
            </w:r>
          </w:p>
        </w:tc>
        <w:tc>
          <w:tcPr>
            <w:tcW w:type="dxa" w:w="3360"/>
            <w:vAlign w:val="top"/>
          </w:tcPr>
          <w:p>
            <w:r>
              <w:t>Bases legais, retenção, direitos de titular, minimização e compartilhamento.</w:t>
            </w:r>
          </w:p>
        </w:tc>
      </w:tr>
    </w:tbl>
    <w:p>
      <w:pPr>
        <w:pStyle w:val="Heading1"/>
      </w:pPr>
      <w:r>
        <w:t>6. Técnicas de elicitação</w:t>
      </w:r>
    </w:p>
    <w:p>
      <w:pPr>
        <w:pStyle w:val="ListBullet"/>
      </w:pPr>
      <w:r>
        <w:t>Entrevistas semiestruturadas por perfil.</w:t>
      </w:r>
    </w:p>
    <w:p>
      <w:pPr>
        <w:pStyle w:val="ListBullet"/>
      </w:pPr>
      <w:r>
        <w:t>Walkthrough do processo atual do contrato até entrega de relatório/PMOC.</w:t>
      </w:r>
    </w:p>
    <w:p>
      <w:pPr>
        <w:pStyle w:val="ListBullet"/>
      </w:pPr>
      <w:r>
        <w:t>Análise documental dos artefatos recebidos.</w:t>
      </w:r>
    </w:p>
    <w:p>
      <w:pPr>
        <w:pStyle w:val="ListBullet"/>
      </w:pPr>
      <w:r>
        <w:t>Observação orientada de execução de OS, quando autorizada.</w:t>
      </w:r>
    </w:p>
    <w:p>
      <w:pPr>
        <w:pStyle w:val="ListBullet"/>
      </w:pPr>
      <w:r>
        <w:t>Workshop de validação do AS-IS e dos gaps.</w:t>
      </w:r>
    </w:p>
    <w:p>
      <w:pPr>
        <w:pStyle w:val="ListBullet"/>
      </w:pPr>
      <w:r>
        <w:t>Triangulação entre fonte regulatória, prática operacional e estratégia de produto.</w:t>
      </w:r>
    </w:p>
    <w:p>
      <w:pPr>
        <w:pStyle w:val="ListBullet"/>
      </w:pPr>
      <w:r>
        <w:t>Classificação de cada achado como requisito, regra, hipótese, pergunta, risco, gap ou decisão pendente.</w:t>
      </w:r>
    </w:p>
    <w:p>
      <w:pPr>
        <w:pStyle w:val="Heading1"/>
      </w:pPr>
      <w:r>
        <w:t>7. Cronograma 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360"/>
            <w:vAlign w:val="top"/>
          </w:tcPr>
          <w:p>
            <w:r>
              <w:t>2.1 Desk research regulatório</w:t>
            </w:r>
          </w:p>
        </w:tc>
        <w:tc>
          <w:tcPr>
            <w:tcW w:type="dxa" w:w="3360"/>
            <w:vAlign w:val="top"/>
          </w:tcPr>
          <w:p>
            <w:r>
              <w:t>Confirmar fontes oficiais iniciais e lacunas</w:t>
            </w:r>
          </w:p>
        </w:tc>
        <w:tc>
          <w:tcPr>
            <w:tcW w:type="dxa" w:w="3360"/>
            <w:vAlign w:val="top"/>
          </w:tcPr>
          <w:p>
            <w:r>
              <w:t>XLS-013 preliminar, OQs regulatórias e riscos.</w:t>
            </w:r>
          </w:p>
        </w:tc>
      </w:tr>
      <w:tr>
        <w:tc>
          <w:tcPr>
            <w:tcW w:type="dxa" w:w="3360"/>
            <w:vAlign w:val="top"/>
          </w:tcPr>
          <w:p>
            <w:r>
              <w:t>2.2 Preparação de entrevistas</w:t>
            </w:r>
          </w:p>
        </w:tc>
        <w:tc>
          <w:tcPr>
            <w:tcW w:type="dxa" w:w="3360"/>
            <w:vAlign w:val="top"/>
          </w:tcPr>
          <w:p>
            <w:r>
              <w:t>Aprovar plano, roteiro e checklist de evidências</w:t>
            </w:r>
          </w:p>
        </w:tc>
        <w:tc>
          <w:tcPr>
            <w:tcW w:type="dxa" w:w="3360"/>
            <w:vAlign w:val="top"/>
          </w:tcPr>
          <w:p>
            <w:r>
              <w:t>DOC-009, DOC-010 e templates.</w:t>
            </w:r>
          </w:p>
        </w:tc>
      </w:tr>
      <w:tr>
        <w:tc>
          <w:tcPr>
            <w:tcW w:type="dxa" w:w="3360"/>
            <w:vAlign w:val="top"/>
          </w:tcPr>
          <w:p>
            <w:r>
              <w:t>Gate pré-entrevistas</w:t>
            </w:r>
          </w:p>
        </w:tc>
        <w:tc>
          <w:tcPr>
            <w:tcW w:type="dxa" w:w="3360"/>
            <w:vAlign w:val="top"/>
          </w:tcPr>
          <w:p>
            <w:r>
              <w:t>Services.NET revisa pacote e autoriza avanço</w:t>
            </w:r>
          </w:p>
        </w:tc>
        <w:tc>
          <w:tcPr>
            <w:tcW w:type="dxa" w:w="3360"/>
            <w:vAlign w:val="top"/>
          </w:tcPr>
          <w:p>
            <w:r>
              <w:t>Registro de autorização formal.</w:t>
            </w:r>
          </w:p>
        </w:tc>
      </w:tr>
      <w:tr>
        <w:tc>
          <w:tcPr>
            <w:tcW w:type="dxa" w:w="3360"/>
            <w:vAlign w:val="top"/>
          </w:tcPr>
          <w:p>
            <w:r>
              <w:t>2.3 Elicitação com Clima Zero</w:t>
            </w:r>
          </w:p>
        </w:tc>
        <w:tc>
          <w:tcPr>
            <w:tcW w:type="dxa" w:w="3360"/>
            <w:vAlign w:val="top"/>
          </w:tcPr>
          <w:p>
            <w:r>
              <w:t>Coletar respostas e evidências reais</w:t>
            </w:r>
          </w:p>
        </w:tc>
        <w:tc>
          <w:tcPr>
            <w:tcW w:type="dxa" w:w="3360"/>
            <w:vAlign w:val="top"/>
          </w:tcPr>
          <w:p>
            <w:r>
              <w:t>Notas classificadas por fonte e evidência.</w:t>
            </w:r>
          </w:p>
        </w:tc>
      </w:tr>
      <w:tr>
        <w:tc>
          <w:tcPr>
            <w:tcW w:type="dxa" w:w="3360"/>
            <w:vAlign w:val="top"/>
          </w:tcPr>
          <w:p>
            <w:r>
              <w:t>2.4 Current State AS-IS</w:t>
            </w:r>
          </w:p>
        </w:tc>
        <w:tc>
          <w:tcPr>
            <w:tcW w:type="dxa" w:w="3360"/>
            <w:vAlign w:val="top"/>
          </w:tcPr>
          <w:p>
            <w:r>
              <w:t>Consolidar processo atual</w:t>
            </w:r>
          </w:p>
        </w:tc>
        <w:tc>
          <w:tcPr>
            <w:tcW w:type="dxa" w:w="3360"/>
            <w:vAlign w:val="top"/>
          </w:tcPr>
          <w:p>
            <w:r>
              <w:t>DOC-011 futuro.</w:t>
            </w:r>
          </w:p>
        </w:tc>
      </w:tr>
      <w:tr>
        <w:tc>
          <w:tcPr>
            <w:tcW w:type="dxa" w:w="3360"/>
            <w:vAlign w:val="top"/>
          </w:tcPr>
          <w:p>
            <w:r>
              <w:t>2.5 a 2.9 Catalogação</w:t>
            </w:r>
          </w:p>
        </w:tc>
        <w:tc>
          <w:tcPr>
            <w:tcW w:type="dxa" w:w="3360"/>
            <w:vAlign w:val="top"/>
          </w:tcPr>
          <w:p>
            <w:r>
              <w:t>Gerar requisitos, regras, segurança, dados, operação e rastreabilidade</w:t>
            </w:r>
          </w:p>
        </w:tc>
        <w:tc>
          <w:tcPr>
            <w:tcW w:type="dxa" w:w="3360"/>
            <w:vAlign w:val="top"/>
          </w:tcPr>
          <w:p>
            <w:r>
              <w:t>XLS-007 a XLS-015 expandidos.</w:t>
            </w:r>
          </w:p>
        </w:tc>
      </w:tr>
      <w:tr>
        <w:tc>
          <w:tcPr>
            <w:tcW w:type="dxa" w:w="3360"/>
            <w:vAlign w:val="top"/>
          </w:tcPr>
          <w:p>
            <w:r>
              <w:t>2.10 Validação cruzada</w:t>
            </w:r>
          </w:p>
        </w:tc>
        <w:tc>
          <w:tcPr>
            <w:tcW w:type="dxa" w:w="3360"/>
            <w:vAlign w:val="top"/>
          </w:tcPr>
          <w:p>
            <w:r>
              <w:t>Remover ambiguidades, contradições e duplicações</w:t>
            </w:r>
          </w:p>
        </w:tc>
        <w:tc>
          <w:tcPr>
            <w:tcW w:type="dxa" w:w="3360"/>
            <w:vAlign w:val="top"/>
          </w:tcPr>
          <w:p>
            <w:r>
              <w:t>Pacote revisado.</w:t>
            </w:r>
          </w:p>
        </w:tc>
      </w:tr>
      <w:tr>
        <w:tc>
          <w:tcPr>
            <w:tcW w:type="dxa" w:w="3360"/>
            <w:vAlign w:val="top"/>
          </w:tcPr>
          <w:p>
            <w:r>
              <w:t>2.11 Revisão Services.NET + Clima Zero</w:t>
            </w:r>
          </w:p>
        </w:tc>
        <w:tc>
          <w:tcPr>
            <w:tcW w:type="dxa" w:w="3360"/>
            <w:vAlign w:val="top"/>
          </w:tcPr>
          <w:p>
            <w:r>
              <w:t>Validar sem marcar Approved automaticamente</w:t>
            </w:r>
          </w:p>
        </w:tc>
        <w:tc>
          <w:tcPr>
            <w:tcW w:type="dxa" w:w="3360"/>
            <w:vAlign w:val="top"/>
          </w:tcPr>
          <w:p>
            <w:r>
              <w:t>Requisitos em Under Review/Validated conforme autorização.</w:t>
            </w:r>
          </w:p>
        </w:tc>
      </w:tr>
    </w:tbl>
    <w:p>
      <w:pPr>
        <w:pStyle w:val="Heading1"/>
      </w:pPr>
      <w:r>
        <w:t>8. Evidências esperadas</w:t>
      </w:r>
    </w:p>
    <w:p>
      <w:pPr>
        <w:pStyle w:val="ListBullet"/>
      </w:pPr>
      <w:r>
        <w:t>Modelo atual de PMOC, OS, checklists, relatórios e planilhas.</w:t>
      </w:r>
    </w:p>
    <w:p>
      <w:pPr>
        <w:pStyle w:val="ListBullet"/>
      </w:pPr>
      <w:r>
        <w:t>Inventário de equipamentos, clientes, unidades e ambientes, se disponível.</w:t>
      </w:r>
    </w:p>
    <w:p>
      <w:pPr>
        <w:pStyle w:val="ListBullet"/>
      </w:pPr>
      <w:r>
        <w:t>Contratos, procedimentos, modelos de ART/TRT, registros de manutenção e documentos de fiscalização.</w:t>
      </w:r>
    </w:p>
    <w:p>
      <w:pPr>
        <w:pStyle w:val="ListBullet"/>
      </w:pPr>
      <w:r>
        <w:t>Exemplos de fotos, medições, não conformidades, cronogramas e ações corretivas.</w:t>
      </w:r>
    </w:p>
    <w:p>
      <w:pPr>
        <w:pStyle w:val="ListBullet"/>
      </w:pPr>
      <w:r>
        <w:t>Evidência de origem para cada requisito ou regra registrada.</w:t>
      </w:r>
    </w:p>
    <w:p>
      <w:pPr>
        <w:pStyle w:val="Heading1"/>
      </w:pPr>
      <w:r>
        <w:t>9. Critérios de qualidade</w:t>
      </w:r>
    </w:p>
    <w:p>
      <w:pPr>
        <w:pStyle w:val="ListBullet"/>
      </w:pPr>
      <w:r>
        <w:t>Requisito testável, atômico, rastreável, sem fonte ausente e sem ambiguidade.</w:t>
      </w:r>
    </w:p>
    <w:p>
      <w:pPr>
        <w:pStyle w:val="ListBullet"/>
      </w:pPr>
      <w:r>
        <w:t>Prática do tenant separada de obrigação regulatória.</w:t>
      </w:r>
    </w:p>
    <w:p>
      <w:pPr>
        <w:pStyle w:val="ListBullet"/>
      </w:pPr>
      <w:r>
        <w:t>Regra A e Regra B mantidas separadas.</w:t>
      </w:r>
    </w:p>
    <w:p>
      <w:pPr>
        <w:pStyle w:val="ListBullet"/>
      </w:pPr>
      <w:r>
        <w:t>Particularidade da Clima Zero classificada como GLOBAL, TENANT-CONFIGURABLE, PILOT-SPECIFIC, REGULATORY ou OPTIONAL EXTENSION.</w:t>
      </w:r>
    </w:p>
    <w:p>
      <w:pPr>
        <w:pStyle w:val="ListBullet"/>
      </w:pPr>
      <w:r>
        <w:t>Conteúdo regulatório tratado como dado versionável e validável, nunca como suposição de engenharia.</w:t>
      </w:r>
    </w:p>
    <w:p>
      <w:pPr>
        <w:pStyle w:val="ListBullet"/>
      </w:pPr>
      <w:r>
        <w:t>Itens dependentes de Jurídico, DPO ou responsável técnico claramente encaminhados.</w:t>
      </w:r>
    </w:p>
    <w:p>
      <w:pPr>
        <w:pStyle w:val="Heading1"/>
      </w:pPr>
      <w:r>
        <w:t>10. Processo de validação</w:t>
      </w:r>
    </w:p>
    <w:p>
      <w:pPr>
        <w:pStyle w:val="ListNumber"/>
      </w:pPr>
      <w:r>
        <w:t>Revisão interna do pacote de preparação pela Services.NET.</w:t>
      </w:r>
    </w:p>
    <w:p>
      <w:pPr>
        <w:pStyle w:val="ListNumber"/>
      </w:pPr>
      <w:r>
        <w:t>Confirmação dos stakeholders, agenda e documentos solicitados.</w:t>
      </w:r>
    </w:p>
    <w:p>
      <w:pPr>
        <w:pStyle w:val="ListNumber"/>
      </w:pPr>
      <w:r>
        <w:t>Autorização formal para iniciar entrevistas.</w:t>
      </w:r>
    </w:p>
    <w:p>
      <w:pPr>
        <w:pStyle w:val="ListNumber"/>
      </w:pPr>
      <w:r>
        <w:t>Registro de cada sessão, fonte, evidência e incerteza.</w:t>
      </w:r>
    </w:p>
    <w:p>
      <w:pPr>
        <w:pStyle w:val="ListNumber"/>
      </w:pPr>
      <w:r>
        <w:t>Validação cruzada entre entrevistas, documentos e fontes oficiais.</w:t>
      </w:r>
    </w:p>
    <w:p>
      <w:pPr>
        <w:pStyle w:val="ListNumber"/>
      </w:pPr>
      <w:r>
        <w:t>Revisão das questões abertas, riscos e decisões propostas antes de qualquer requisito ser promovido de Draft.</w:t>
      </w:r>
    </w:p>
    <w:p>
      <w:pPr>
        <w:pStyle w:val="Heading1"/>
      </w:pPr>
      <w:r>
        <w:t>11. Gate obrigatório antes das entrevistas</w:t>
      </w:r>
    </w:p>
    <w:p>
      <w:pPr>
        <w:pStyle w:val="ListBullet"/>
      </w:pPr>
      <w:r>
        <w:t>DOC-009 e DOC-010 revisados.</w:t>
      </w:r>
    </w:p>
    <w:p>
      <w:pPr>
        <w:pStyle w:val="ListBullet"/>
      </w:pPr>
      <w:r>
        <w:t>Checklist de documentos aprovado.</w:t>
      </w:r>
    </w:p>
    <w:p>
      <w:pPr>
        <w:pStyle w:val="ListBullet"/>
      </w:pPr>
      <w:r>
        <w:t>Matriz regulatória preliminar disponível.</w:t>
      </w:r>
    </w:p>
    <w:p>
      <w:pPr>
        <w:pStyle w:val="ListBullet"/>
      </w:pPr>
      <w:r>
        <w:t>XLS-006 a XLS-015 criados como estruturas de trabalho.</w:t>
      </w:r>
    </w:p>
    <w:p>
      <w:pPr>
        <w:pStyle w:val="ListBullet"/>
      </w:pPr>
      <w:r>
        <w:t>XLS-001 a XLS-005 preparados para expansão.</w:t>
      </w:r>
    </w:p>
    <w:p>
      <w:pPr>
        <w:pStyle w:val="ListBullet"/>
      </w:pPr>
      <w:r>
        <w:t>OQs, riscos, dependências e decisões propostas atualizados.</w:t>
      </w:r>
    </w:p>
    <w:p>
      <w:pPr>
        <w:pStyle w:val="ListBullet"/>
      </w:pPr>
      <w:r>
        <w:t>Nenhum conflito bloqueante com a Fase 1 ou, se existir, Change Request registrado.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