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5696" w14:textId="52C8B676" w:rsidR="00575735"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3C7B625" w14:textId="77777777" w:rsidR="00575735" w:rsidRDefault="00575735">
      <w:pPr>
        <w:pBdr>
          <w:top w:val="nil"/>
          <w:left w:val="nil"/>
          <w:bottom w:val="nil"/>
          <w:right w:val="nil"/>
          <w:between w:val="nil"/>
        </w:pBdr>
        <w:spacing w:line="276" w:lineRule="auto"/>
        <w:jc w:val="center"/>
        <w:rPr>
          <w:rFonts w:ascii="Times New Roman" w:eastAsia="Times New Roman" w:hAnsi="Times New Roman" w:cs="Times New Roman"/>
          <w:color w:val="000000"/>
          <w:sz w:val="52"/>
          <w:szCs w:val="52"/>
        </w:rPr>
      </w:pPr>
    </w:p>
    <w:p w14:paraId="2FA39ACF" w14:textId="77777777" w:rsidR="00575735" w:rsidRPr="00152B91" w:rsidRDefault="00182B06">
      <w:pPr>
        <w:pBdr>
          <w:top w:val="nil"/>
          <w:left w:val="nil"/>
          <w:bottom w:val="nil"/>
          <w:right w:val="nil"/>
          <w:between w:val="nil"/>
        </w:pBdr>
        <w:spacing w:line="276" w:lineRule="auto"/>
        <w:jc w:val="center"/>
        <w:rPr>
          <w:rFonts w:ascii="Times New Roman" w:eastAsia="Times New Roman" w:hAnsi="Times New Roman" w:cs="Times New Roman"/>
          <w:color w:val="000000"/>
          <w:sz w:val="52"/>
          <w:szCs w:val="52"/>
        </w:rPr>
      </w:pPr>
      <w:r w:rsidRPr="00152B91">
        <w:rPr>
          <w:rFonts w:ascii="Times New Roman" w:eastAsia="Times New Roman" w:hAnsi="Times New Roman" w:cs="Times New Roman"/>
          <w:color w:val="000000"/>
          <w:sz w:val="52"/>
          <w:szCs w:val="52"/>
        </w:rPr>
        <w:t>STUDEM</w:t>
      </w:r>
    </w:p>
    <w:p w14:paraId="3276CA39" w14:textId="77777777" w:rsidR="00575735" w:rsidRPr="00152B91" w:rsidRDefault="00182B06">
      <w:pPr>
        <w:pBdr>
          <w:top w:val="nil"/>
          <w:left w:val="nil"/>
          <w:bottom w:val="nil"/>
          <w:right w:val="nil"/>
          <w:between w:val="nil"/>
        </w:pBdr>
        <w:spacing w:line="276" w:lineRule="auto"/>
        <w:jc w:val="center"/>
        <w:rPr>
          <w:rFonts w:ascii="Times New Roman" w:eastAsia="Times New Roman" w:hAnsi="Times New Roman" w:cs="Times New Roman"/>
          <w:color w:val="000000"/>
          <w:sz w:val="52"/>
          <w:szCs w:val="52"/>
        </w:rPr>
      </w:pPr>
      <w:r w:rsidRPr="00152B91">
        <w:rPr>
          <w:rFonts w:ascii="Times New Roman" w:eastAsia="Times New Roman" w:hAnsi="Times New Roman" w:cs="Times New Roman"/>
          <w:color w:val="000000"/>
          <w:sz w:val="52"/>
          <w:szCs w:val="52"/>
        </w:rPr>
        <w:t>Codul de etică</w:t>
      </w:r>
    </w:p>
    <w:p w14:paraId="1238AA14"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22E16BAD"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Acest Cod de etică servește la informarea membrilor, beneficiarilor, donatorilor și publicului cu privire la liniile directoare interne, prin care STUDEM menține cele mai înalte standarde de integritate, guvernanță, management financiar, parteneriate și implementarea activităților și obiectivelor noastre. </w:t>
      </w:r>
    </w:p>
    <w:p w14:paraId="3CEC9E58"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C836F48"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Acest Cod de etică este format din trei părți: </w:t>
      </w:r>
    </w:p>
    <w:p w14:paraId="39510AC7"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7517442A" w14:textId="77777777" w:rsidR="00575735" w:rsidRPr="00152B91" w:rsidRDefault="00182B06">
      <w:pPr>
        <w:numPr>
          <w:ilvl w:val="0"/>
          <w:numId w:val="4"/>
        </w:numPr>
        <w:pBdr>
          <w:top w:val="nil"/>
          <w:left w:val="nil"/>
          <w:bottom w:val="nil"/>
          <w:right w:val="nil"/>
          <w:between w:val="nil"/>
        </w:pBdr>
        <w:spacing w:after="164"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 O scurtă introducere în STUDEM</w:t>
      </w:r>
    </w:p>
    <w:p w14:paraId="189EF13A" w14:textId="77777777" w:rsidR="00575735" w:rsidRPr="00152B91" w:rsidRDefault="00182B06">
      <w:pPr>
        <w:numPr>
          <w:ilvl w:val="0"/>
          <w:numId w:val="4"/>
        </w:numPr>
        <w:pBdr>
          <w:top w:val="nil"/>
          <w:left w:val="nil"/>
          <w:bottom w:val="nil"/>
          <w:right w:val="nil"/>
          <w:between w:val="nil"/>
        </w:pBdr>
        <w:spacing w:after="164"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Principii directoare; </w:t>
      </w:r>
      <w:r w:rsidRPr="00152B91">
        <w:rPr>
          <w:rFonts w:ascii="Times New Roman" w:eastAsia="Times New Roman" w:hAnsi="Times New Roman" w:cs="Times New Roman"/>
          <w:i/>
          <w:color w:val="000000"/>
          <w:sz w:val="22"/>
          <w:szCs w:val="22"/>
        </w:rPr>
        <w:t>principiile trebuie respectate atunci când se află într-o relație de afaceri cu STUDEM.</w:t>
      </w:r>
    </w:p>
    <w:p w14:paraId="2498FC30" w14:textId="77777777" w:rsidR="00575735" w:rsidRPr="00152B91" w:rsidRDefault="00182B06">
      <w:pPr>
        <w:numPr>
          <w:ilvl w:val="0"/>
          <w:numId w:val="4"/>
        </w:numPr>
        <w:pBdr>
          <w:top w:val="nil"/>
          <w:left w:val="nil"/>
          <w:bottom w:val="nil"/>
          <w:right w:val="nil"/>
          <w:between w:val="nil"/>
        </w:pBdr>
        <w:spacing w:after="164"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Codul anticorupție</w:t>
      </w:r>
    </w:p>
    <w:p w14:paraId="1C0F872B" w14:textId="77777777" w:rsidR="00575735" w:rsidRPr="00152B91" w:rsidRDefault="00182B06">
      <w:pPr>
        <w:numPr>
          <w:ilvl w:val="0"/>
          <w:numId w:val="4"/>
        </w:numPr>
        <w:pBdr>
          <w:top w:val="nil"/>
          <w:left w:val="nil"/>
          <w:bottom w:val="nil"/>
          <w:right w:val="nil"/>
          <w:between w:val="nil"/>
        </w:pBdr>
        <w:spacing w:after="164"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Codul de conduită; </w:t>
      </w:r>
      <w:r w:rsidRPr="00152B91">
        <w:rPr>
          <w:rFonts w:ascii="Times New Roman" w:eastAsia="Times New Roman" w:hAnsi="Times New Roman" w:cs="Times New Roman"/>
          <w:i/>
          <w:color w:val="000000"/>
          <w:sz w:val="22"/>
          <w:szCs w:val="22"/>
        </w:rPr>
        <w:t xml:space="preserve">prezintă proceduri obligatorii și cursuri de acțiune pentru situații specifice. </w:t>
      </w:r>
    </w:p>
    <w:p w14:paraId="1AC14C4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0497D02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i/>
          <w:color w:val="000000"/>
          <w:sz w:val="22"/>
          <w:szCs w:val="22"/>
        </w:rPr>
      </w:pPr>
      <w:r w:rsidRPr="00152B91">
        <w:rPr>
          <w:rFonts w:ascii="Times New Roman" w:eastAsia="Times New Roman" w:hAnsi="Times New Roman" w:cs="Times New Roman"/>
          <w:color w:val="000000"/>
          <w:sz w:val="22"/>
          <w:szCs w:val="22"/>
        </w:rPr>
        <w:t xml:space="preserve">Principiile și standardele de conduită stabilite în prezentul Cod de etică trebuie respectate de: </w:t>
      </w:r>
    </w:p>
    <w:p w14:paraId="4F184C64"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72378053" w14:textId="77777777" w:rsidR="00575735" w:rsidRPr="00152B91" w:rsidRDefault="00182B06">
      <w:pPr>
        <w:numPr>
          <w:ilvl w:val="0"/>
          <w:numId w:val="5"/>
        </w:numPr>
        <w:pBdr>
          <w:top w:val="nil"/>
          <w:left w:val="nil"/>
          <w:bottom w:val="nil"/>
          <w:right w:val="nil"/>
          <w:between w:val="nil"/>
        </w:pBdr>
        <w:spacing w:after="123"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Toți membrii STUDEM   </w:t>
      </w:r>
    </w:p>
    <w:p w14:paraId="5642F4D9" w14:textId="77777777" w:rsidR="00575735" w:rsidRPr="00152B91" w:rsidRDefault="00182B06">
      <w:pPr>
        <w:numPr>
          <w:ilvl w:val="0"/>
          <w:numId w:val="5"/>
        </w:numPr>
        <w:pBdr>
          <w:top w:val="nil"/>
          <w:left w:val="nil"/>
          <w:bottom w:val="nil"/>
          <w:right w:val="nil"/>
          <w:between w:val="nil"/>
        </w:pBdr>
        <w:spacing w:after="123"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Toți participanții la activitățile STUDEM atunci când se află la locul de desfășurare. </w:t>
      </w:r>
    </w:p>
    <w:p w14:paraId="61B81D0B" w14:textId="77777777" w:rsidR="00575735" w:rsidRPr="00152B91" w:rsidRDefault="00182B06">
      <w:pPr>
        <w:numPr>
          <w:ilvl w:val="0"/>
          <w:numId w:val="5"/>
        </w:numPr>
        <w:pBdr>
          <w:top w:val="nil"/>
          <w:left w:val="nil"/>
          <w:bottom w:val="nil"/>
          <w:right w:val="nil"/>
          <w:between w:val="nil"/>
        </w:pBdr>
        <w:spacing w:after="123"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Personalul, Consiliul de administrație și angajatorii administrativi ai STUDEM. </w:t>
      </w:r>
    </w:p>
    <w:p w14:paraId="6F3F24A2" w14:textId="77777777" w:rsidR="00575735" w:rsidRPr="00152B91" w:rsidRDefault="00182B06">
      <w:pPr>
        <w:numPr>
          <w:ilvl w:val="0"/>
          <w:numId w:val="5"/>
        </w:numPr>
        <w:pBdr>
          <w:top w:val="nil"/>
          <w:left w:val="nil"/>
          <w:bottom w:val="nil"/>
          <w:right w:val="nil"/>
          <w:between w:val="nil"/>
        </w:pBdr>
        <w:spacing w:after="123"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Entități, grupuri și/sau persoane care colaborează cu STUDEM.</w:t>
      </w:r>
    </w:p>
    <w:p w14:paraId="646D3B6F" w14:textId="77777777" w:rsidR="00575735" w:rsidRPr="00152B91" w:rsidRDefault="00182B06">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Consultanți și alte servicii externe angajate de STUDEM. </w:t>
      </w:r>
    </w:p>
    <w:p w14:paraId="4D8DF068"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94CB2E0"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6E77273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Nerespectarea poate determina consiliul STUDEM sau partenerii inițiali ai proiectului centrului de tineret STUDEM [CREEDD și Silba] să înceteze relația de afaceri relevantă. </w:t>
      </w:r>
    </w:p>
    <w:p w14:paraId="6C27919D"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450A15F7"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2EF98E28"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Codul etic STUDEM se inspiră din Codul etic adoptat de Asociația Mondială a Organizațiilor Neguvernamentale la 5 martie 2005. </w:t>
      </w:r>
    </w:p>
    <w:p w14:paraId="36CF5DD0"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4C4EC0C4"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0445EEA2"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09E05EA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7F9BB6B4" w14:textId="77777777" w:rsidR="00575735" w:rsidRPr="00152B91" w:rsidRDefault="00182B06">
      <w:pPr>
        <w:spacing w:line="276" w:lineRule="auto"/>
        <w:jc w:val="both"/>
        <w:rPr>
          <w:rFonts w:ascii="Times New Roman" w:eastAsia="Times New Roman" w:hAnsi="Times New Roman" w:cs="Times New Roman"/>
          <w:b/>
          <w:sz w:val="22"/>
          <w:szCs w:val="22"/>
        </w:rPr>
      </w:pPr>
      <w:r w:rsidRPr="00152B91">
        <w:br w:type="page"/>
      </w:r>
    </w:p>
    <w:p w14:paraId="13BD24A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lastRenderedPageBreak/>
        <w:t xml:space="preserve">Introducere în STUDEM </w:t>
      </w:r>
    </w:p>
    <w:p w14:paraId="5A331D76"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 Step up For Democracy este un brand non-guvernamental și non-profit din Moldova, care cooperează cu parteneri locali non-guvernamentali și non-profit.  </w:t>
      </w:r>
    </w:p>
    <w:p w14:paraId="75FE2410"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1BA5EBE"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susține activitățile locale conduse de tineri și interesele tinerilor în Moldova. Prin activități precum instruiri, schimburi, evenimente culturale, întâlniri și cluburi, STUDEM lucrează activ pentru a spori vocea tinerilor din Moldova într-un context local, regional, național și internațional. Principalele noastre domenii de interes sunt procedurile democratice, autoguvernarea și drepturile omului, cu un accent special pe drepturile civile și multiplele sale fațete, inclusiv educația mediatică, libertatea de exprimare, libertatea de asociere, libertatea de circulație, tratamentul egal și incluziunea, drepturile de vot și responsabilitatea. STUDEM se angajează să protejeze vocea tinerilor și să stabilească medii non-politice sigure în care abilități precum reflecția, gândirea critică, dialogul, argumentarea, gândirea analitică, creativitatea, compasiunea și responsabilitatea socială pot înflori. STUDEM este un spațiu fizic pe care tinerii din Moldova îl pot deține, gestiona și dezvolta, dar servește drept set de principii și proceduri pentru implicarea tinerilor care urmează să fie transferate altor entități de tineret din Moldova. </w:t>
      </w:r>
    </w:p>
    <w:p w14:paraId="55D16C4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E339DA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Principii directoare </w:t>
      </w:r>
    </w:p>
    <w:p w14:paraId="7D351DC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acționa în interesul public al tinerilor și își va menține independența față de guverne, corporații cu scop lucrativ, donatori și organizații politice. </w:t>
      </w:r>
    </w:p>
    <w:p w14:paraId="79C39DD9"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608B9021"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acționează în interesul tinerilor și pe baza principiului că tinerii sunt contribuitori valoroși ai societății, părți interesate și beneficiari. </w:t>
      </w:r>
    </w:p>
    <w:p w14:paraId="65253D65"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60B12BB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nu va încălca, în cursul activității sale, drepturile fundamentale ale omului. </w:t>
      </w:r>
    </w:p>
    <w:p w14:paraId="07E83959"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72ECC194"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fi sensibil la valorile morale, religia, obiceiurile, tradițiile și cultura comunităților în care și cu care lucrăm. </w:t>
      </w:r>
    </w:p>
    <w:p w14:paraId="7FCB3815"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2337E6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favoriza întotdeauna procedurile democratice și va garanta transparența și responsabilitatea în cadrul propriei structuri și pe plan extern. </w:t>
      </w:r>
    </w:p>
    <w:p w14:paraId="7C86251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4149C91C"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nu va fi afiliat cu parteneri cu scopuri neetice cum ar fi discriminarea, violența, corupția sau nepotismul etc. </w:t>
      </w:r>
    </w:p>
    <w:p w14:paraId="46B5046C"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2977877D"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nu va fi afiliat cu parteneri sau persoane fizice cu scopuri sau agende politice de partid. </w:t>
      </w:r>
    </w:p>
    <w:p w14:paraId="6995A198"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2C654698"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încuraja întotdeauna tinerii să participe activ în comunitățile lor prin implicare civică și mecanisme democratice stabilite ca alegeri. </w:t>
      </w:r>
    </w:p>
    <w:p w14:paraId="44521128"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1B690081"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nu va acorda niciodată prioritate opiniei sau deciziei unui adult cu vârsta peste 30 de ani. STUDEM lucrează exclusiv pentru și de către tineri sub vârsta de 30 de ani. </w:t>
      </w:r>
    </w:p>
    <w:p w14:paraId="26450797"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4141049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se străduiește să se asigure că inițiativele noastre de dezvoltare sunt modelate atât de standardele internaționale privind drepturile omului, cât și de prioritățile Moldovei în care lucrăm. Fondate pe o abordare bazată pe drepturile omului (HRBA), activitățile noastre sunt implementate într-o manieră incluzivă în favoarea grupurilor marginalizate. </w:t>
      </w:r>
    </w:p>
    <w:p w14:paraId="7659314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6C43B45"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lastRenderedPageBreak/>
        <w:t>În fiecare aspect al activității noastre, STUDEM se străduiește să fie conștient și receptiv la inegalitățile care împiedică accesul egal la inițiativele tinerilor, pe baza identificării de gen, sexualității, sexului, religiei, culturii, etniei, limbii, abilităților mentale și fizice, afilierii politice, mediului social și statutului financiar.</w:t>
      </w:r>
    </w:p>
    <w:p w14:paraId="4122B52F"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14:paraId="6B8DB439"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este mandatat să se refere la partenerii inițiali [CREEDD și Silba] în conformitate cu regulile de procedură contemporane. </w:t>
      </w:r>
    </w:p>
    <w:p w14:paraId="3647DAFB"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14:paraId="7DA894CA"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Codul de conduită </w:t>
      </w:r>
    </w:p>
    <w:p w14:paraId="4760FFC5"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Responsabilitate și transparență </w:t>
      </w:r>
    </w:p>
    <w:p w14:paraId="6F41021A"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2BFAA1F9"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răspunde în fața donatorilor și a publicului. Informațiile furnizate donatorilor și publicului cu privire la organizație trebuie să fie corecte, oportune și echilibrate. </w:t>
      </w:r>
    </w:p>
    <w:p w14:paraId="4924911E"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1AE00690"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pune la dispoziția publicului informații financiare de bază, structura de guvernanță, numele membrilor consiliului său de administrație, lista ofițerilor, descrierea activităților, parteneriatelor și asocierilor în participațiune. </w:t>
      </w:r>
    </w:p>
    <w:p w14:paraId="1F6893E9"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09FF241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căuta să fie transparent în toate relațiile sale cu guvernul, publicul, donatorii, partenerii și beneficiarii. STUDEM va proteja problemele personale și va considera orice informație confidențială în cazul în care poate pune în pericol (munca) oricăruia dintre angajații, partenerii, membrii sau beneficiarii săi. </w:t>
      </w:r>
    </w:p>
    <w:p w14:paraId="1C17728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14:paraId="4A914A0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Combaterea corupției, conflictele de interese și legalitatea </w:t>
      </w:r>
    </w:p>
    <w:p w14:paraId="42D2F0F3"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1726967" w14:textId="77777777" w:rsidR="00575735" w:rsidRPr="00152B91" w:rsidRDefault="00182B06">
      <w:pPr>
        <w:spacing w:line="276" w:lineRule="auto"/>
        <w:jc w:val="both"/>
        <w:rPr>
          <w:rFonts w:ascii="Times New Roman" w:eastAsia="Times New Roman" w:hAnsi="Times New Roman" w:cs="Times New Roman"/>
          <w:sz w:val="22"/>
          <w:szCs w:val="22"/>
        </w:rPr>
      </w:pPr>
      <w:r w:rsidRPr="00152B91">
        <w:rPr>
          <w:rFonts w:ascii="Times New Roman" w:eastAsia="Times New Roman" w:hAnsi="Times New Roman" w:cs="Times New Roman"/>
          <w:sz w:val="22"/>
          <w:szCs w:val="22"/>
        </w:rPr>
        <w:t xml:space="preserve">Acest Cod de conduită adoptă definiția larg utilizată a corupției ca: "Utilizarea abuzivă a puterii încredințate pentru câștig privat". </w:t>
      </w:r>
    </w:p>
    <w:p w14:paraId="0D426711" w14:textId="77777777" w:rsidR="00575735" w:rsidRPr="00152B91" w:rsidRDefault="00575735">
      <w:pPr>
        <w:spacing w:line="276" w:lineRule="auto"/>
        <w:jc w:val="both"/>
        <w:rPr>
          <w:rFonts w:ascii="Times New Roman" w:eastAsia="Times New Roman" w:hAnsi="Times New Roman" w:cs="Times New Roman"/>
          <w:sz w:val="22"/>
          <w:szCs w:val="22"/>
        </w:rPr>
      </w:pPr>
    </w:p>
    <w:p w14:paraId="4778B810" w14:textId="77777777" w:rsidR="00575735" w:rsidRPr="00152B91" w:rsidRDefault="00182B06">
      <w:pPr>
        <w:spacing w:line="276" w:lineRule="auto"/>
        <w:jc w:val="both"/>
        <w:rPr>
          <w:rFonts w:ascii="Times New Roman" w:eastAsia="Times New Roman" w:hAnsi="Times New Roman" w:cs="Times New Roman"/>
          <w:sz w:val="22"/>
          <w:szCs w:val="22"/>
        </w:rPr>
      </w:pPr>
      <w:r w:rsidRPr="00152B91">
        <w:rPr>
          <w:rFonts w:ascii="Times New Roman" w:eastAsia="Times New Roman" w:hAnsi="Times New Roman" w:cs="Times New Roman"/>
          <w:sz w:val="22"/>
          <w:szCs w:val="22"/>
        </w:rPr>
        <w:t xml:space="preserve">Recunoscând că nu există o definiție universală sau cuprinzătoare a comportamentului corupt, acest cod de conduită stabilește că practicile corupte și frauduloase cuprind următoarele acte: </w:t>
      </w:r>
    </w:p>
    <w:p w14:paraId="7D3A2330" w14:textId="77777777" w:rsidR="00575735" w:rsidRPr="00152B91" w:rsidRDefault="00182B06">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Frauda:</w:t>
      </w:r>
      <w:r w:rsidRPr="00152B91">
        <w:rPr>
          <w:rFonts w:ascii="Times New Roman" w:eastAsia="Times New Roman" w:hAnsi="Times New Roman" w:cs="Times New Roman"/>
          <w:color w:val="000000"/>
          <w:sz w:val="22"/>
          <w:szCs w:val="22"/>
        </w:rPr>
        <w:t xml:space="preserve"> Frauda și comportamentul fraudulos sunt înțelese ca o acțiune premeditată de către echipele de management sau alte persoane pentru profit personal. Frauda include reprezentarea falsă, extorcarea, conspirația, coluziunea, înșelăciunea, șantajul, nepotismul, furtul și delapidarea fondurilor, falsificarea, contrafacerea documentelor și falsificarea sau denaturarea costurilor legate de activitățile proiectului, cheltuielile de deplasare, diurna etc. Toleranța zero față de toate tipurile de fraudă este esențială. </w:t>
      </w:r>
    </w:p>
    <w:p w14:paraId="3A64DF6D" w14:textId="77777777" w:rsidR="00575735" w:rsidRPr="00152B91" w:rsidRDefault="00182B06">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Corupție:</w:t>
      </w:r>
      <w:r w:rsidRPr="00152B91">
        <w:rPr>
          <w:rFonts w:ascii="Times New Roman" w:eastAsia="Times New Roman" w:hAnsi="Times New Roman" w:cs="Times New Roman"/>
          <w:color w:val="000000"/>
          <w:sz w:val="22"/>
          <w:szCs w:val="22"/>
        </w:rPr>
        <w:t xml:space="preserve"> Comportamentul și practica coruptă sunt înțelese ca oferind plăți de facilitare (numite și "plăți unsori", "taxe de procesare" și "mită") în plus față de taxele normale specificate pentru a obține sau accelera serviciile. Toleranța zero față de toate tipurile de comportament corupt este esențială. </w:t>
      </w:r>
    </w:p>
    <w:p w14:paraId="4ADC1D28" w14:textId="77777777" w:rsidR="00575735" w:rsidRPr="00152B91" w:rsidRDefault="00182B06">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Utilizarea abuzivă a fondurilor și a activelor:</w:t>
      </w:r>
      <w:r w:rsidRPr="00152B91">
        <w:rPr>
          <w:rFonts w:ascii="Times New Roman" w:eastAsia="Times New Roman" w:hAnsi="Times New Roman" w:cs="Times New Roman"/>
          <w:color w:val="000000"/>
          <w:sz w:val="22"/>
          <w:szCs w:val="22"/>
        </w:rPr>
        <w:t xml:space="preserve"> Aceasta este înțeleasă ca utilizarea fondurilor și a activelor (cum ar fi mașini, telefoane etc.) în alte scopuri decât cele menționate în cererea de finanțare a proiectelor și activităților; pe lângă întreținerea neglijentă sau necorespunzătoare a activelor. Toleranța zero față de toate tipurile de utilizare abuzivă a fondurilor și activelor este esențială. </w:t>
      </w:r>
    </w:p>
    <w:p w14:paraId="79576916" w14:textId="77777777" w:rsidR="00575735" w:rsidRPr="00152B91" w:rsidRDefault="00182B06">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Nereguli grave:</w:t>
      </w:r>
      <w:r w:rsidRPr="00152B91">
        <w:rPr>
          <w:rFonts w:ascii="Times New Roman" w:eastAsia="Times New Roman" w:hAnsi="Times New Roman" w:cs="Times New Roman"/>
          <w:color w:val="000000"/>
          <w:sz w:val="22"/>
          <w:szCs w:val="22"/>
        </w:rPr>
        <w:t xml:space="preserve"> Prin nereguli grave se înțelege lipsa unei contabilități adecvate, rapoarte financiare întârziate sau lipsă către parteneri și donatori, gestionarea ineficientă din punctul de </w:t>
      </w:r>
      <w:r w:rsidRPr="00152B91">
        <w:rPr>
          <w:rFonts w:ascii="Times New Roman" w:eastAsia="Times New Roman" w:hAnsi="Times New Roman" w:cs="Times New Roman"/>
          <w:color w:val="000000"/>
          <w:sz w:val="22"/>
          <w:szCs w:val="22"/>
        </w:rPr>
        <w:lastRenderedPageBreak/>
        <w:t xml:space="preserve">vedere al costurilor a activelor, precum și a resurselor financiare și umane și alte forme de gestionare defectuoasă. </w:t>
      </w:r>
    </w:p>
    <w:p w14:paraId="29675DDD" w14:textId="77777777" w:rsidR="00575735" w:rsidRPr="00152B91" w:rsidRDefault="00182B06">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Acceptarea sau oferirea oricăror cadouri</w:t>
      </w:r>
      <w:r w:rsidRPr="00152B91">
        <w:rPr>
          <w:rFonts w:ascii="Times New Roman" w:eastAsia="Times New Roman" w:hAnsi="Times New Roman" w:cs="Times New Roman"/>
          <w:color w:val="000000"/>
          <w:sz w:val="22"/>
          <w:szCs w:val="22"/>
        </w:rPr>
        <w:t xml:space="preserve"> sau favoruri care sunt mai mult decât "cadouri simbolice", adică pixuri, jurnale de birou etc. Un angajat nu trebuie să solicite sau să primească, direct sau indirect, niciun cadou, favoare sau beneficiu în schimbul unei acțiuni sau inacțiuni oficiale sau care ar putea influența sau părea să influențeze exercitarea funcțiilor, îndatoririlor sau judecății sale. Aceasta include, de asemenea, beneficiile acordate "terților", cum ar fi partenerul/soțul/soția, copiii etc. </w:t>
      </w:r>
    </w:p>
    <w:p w14:paraId="7D88BE46" w14:textId="77777777" w:rsidR="00575735" w:rsidRPr="00152B91" w:rsidRDefault="00182B06">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Nedivulgarea sau nepermiterea transparenței depline</w:t>
      </w:r>
      <w:r w:rsidRPr="00152B91">
        <w:rPr>
          <w:rFonts w:ascii="Times New Roman" w:eastAsia="Times New Roman" w:hAnsi="Times New Roman" w:cs="Times New Roman"/>
          <w:color w:val="000000"/>
          <w:sz w:val="22"/>
          <w:szCs w:val="22"/>
        </w:rPr>
        <w:t xml:space="preserve"> a gestionării contractelor și a bugetului sau orice potențial conflict de interese cu organizațiile partenere, furnizorii de servicii, furnizorii și partenerii de afaceri. Aceasta include orice încercare de a ascunde relații familiale apropiate, acorduri între acționari sau alte relații decisive.</w:t>
      </w:r>
    </w:p>
    <w:p w14:paraId="01F87F37"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5351728"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nu se va angaja în nici o formă de corupție, mită sau alte nereguli financiare sau ilegalități. STUDEM nu va utiliza niciodată în mod abuziv fondurile; Personalul și afiliații săi se vor comporta cinstit și nu vor accepta sau plăti niciodată mită, monetară, sub formă de bunuri sau imateriale. </w:t>
      </w:r>
    </w:p>
    <w:p w14:paraId="50C6198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ACDF8CD"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Toate părțile de la pagina 1 menționate în caz de suspiciune de corupție sunt obligate să informeze partenerii strategici în termen de 3 luni. În cazul în care suspiciunea se referă la partenerii strategici, părțile menționate sunt obligate să se refere la donatorii relevanți.</w:t>
      </w:r>
    </w:p>
    <w:p w14:paraId="2ACEC97C"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14:paraId="5A145AEF" w14:textId="77777777" w:rsidR="00575735" w:rsidRPr="00152B91" w:rsidRDefault="00182B06">
      <w:pPr>
        <w:jc w:val="both"/>
        <w:rPr>
          <w:rFonts w:ascii="Times New Roman" w:eastAsia="Times New Roman" w:hAnsi="Times New Roman" w:cs="Times New Roman"/>
          <w:b/>
          <w:sz w:val="22"/>
          <w:szCs w:val="22"/>
        </w:rPr>
      </w:pPr>
      <w:r w:rsidRPr="00152B91">
        <w:rPr>
          <w:rFonts w:ascii="Times New Roman" w:eastAsia="Times New Roman" w:hAnsi="Times New Roman" w:cs="Times New Roman"/>
          <w:b/>
          <w:sz w:val="22"/>
          <w:szCs w:val="22"/>
        </w:rPr>
        <w:t xml:space="preserve">Definiția suspiciunii, suspiciunii bine fondate și fraudei dovedite etc </w:t>
      </w:r>
    </w:p>
    <w:p w14:paraId="59F16833" w14:textId="77777777" w:rsidR="00575735" w:rsidRPr="00152B91" w:rsidRDefault="00575735">
      <w:pPr>
        <w:jc w:val="both"/>
        <w:rPr>
          <w:rFonts w:ascii="Times New Roman" w:eastAsia="Times New Roman" w:hAnsi="Times New Roman" w:cs="Times New Roman"/>
          <w:sz w:val="22"/>
          <w:szCs w:val="22"/>
        </w:rPr>
      </w:pPr>
    </w:p>
    <w:p w14:paraId="1D376384" w14:textId="77777777" w:rsidR="00575735" w:rsidRPr="00152B91" w:rsidRDefault="00182B06">
      <w:pPr>
        <w:jc w:val="both"/>
        <w:rPr>
          <w:rFonts w:ascii="Times New Roman" w:eastAsia="Times New Roman" w:hAnsi="Times New Roman" w:cs="Times New Roman"/>
          <w:sz w:val="22"/>
          <w:szCs w:val="22"/>
        </w:rPr>
      </w:pPr>
      <w:r w:rsidRPr="00152B91">
        <w:rPr>
          <w:rFonts w:ascii="Times New Roman" w:eastAsia="Times New Roman" w:hAnsi="Times New Roman" w:cs="Times New Roman"/>
          <w:sz w:val="22"/>
          <w:szCs w:val="22"/>
        </w:rPr>
        <w:t xml:space="preserve">Suspiciunea de fraudă sau corupție etc. se poate baza, de exemplu, pe: </w:t>
      </w:r>
    </w:p>
    <w:p w14:paraId="70F18383" w14:textId="77777777" w:rsidR="00575735" w:rsidRPr="00152B91" w:rsidRDefault="00182B06">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lipsa unor conturi și rapoarte financiare corecte și la timp; </w:t>
      </w:r>
    </w:p>
    <w:p w14:paraId="7C4F1A25" w14:textId="77777777" w:rsidR="00575735" w:rsidRPr="00152B91" w:rsidRDefault="00182B06">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plângeri din partea beneficiarilor care susțin că nu au primit serviciile promise și raportate; </w:t>
      </w:r>
    </w:p>
    <w:p w14:paraId="01AAEA77" w14:textId="77777777" w:rsidR="00575735" w:rsidRPr="00152B91" w:rsidRDefault="00182B06">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achiziții de bunuri la un preț mult mai mare decât cel raportat în mod normal; </w:t>
      </w:r>
    </w:p>
    <w:p w14:paraId="14F195CC" w14:textId="77777777" w:rsidR="00575735" w:rsidRPr="00152B91" w:rsidRDefault="00182B06">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observații, cum ar fi cheltuielile personalului sau ale voluntarilor peste capacitățile lor financiare presupuse, de exemplu cumpărarea de mașini sau construirea de case; și </w:t>
      </w:r>
    </w:p>
    <w:p w14:paraId="130C804A" w14:textId="77777777" w:rsidR="00575735" w:rsidRPr="00152B91" w:rsidRDefault="00182B06">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lipsa sau reconcilierea slabă a numerarului, a extraselor bancare și a conturilor. </w:t>
      </w:r>
    </w:p>
    <w:p w14:paraId="61A264CE" w14:textId="77777777" w:rsidR="00575735" w:rsidRPr="00152B91" w:rsidRDefault="00575735">
      <w:pPr>
        <w:jc w:val="both"/>
        <w:rPr>
          <w:rFonts w:ascii="Times New Roman" w:eastAsia="Times New Roman" w:hAnsi="Times New Roman" w:cs="Times New Roman"/>
          <w:sz w:val="22"/>
          <w:szCs w:val="22"/>
        </w:rPr>
      </w:pPr>
    </w:p>
    <w:p w14:paraId="2E022F71" w14:textId="77777777" w:rsidR="00575735" w:rsidRPr="00152B91" w:rsidRDefault="00182B06">
      <w:pPr>
        <w:jc w:val="both"/>
        <w:rPr>
          <w:rFonts w:ascii="Times New Roman" w:eastAsia="Times New Roman" w:hAnsi="Times New Roman" w:cs="Times New Roman"/>
          <w:sz w:val="22"/>
          <w:szCs w:val="22"/>
        </w:rPr>
      </w:pPr>
      <w:r w:rsidRPr="00152B91">
        <w:rPr>
          <w:rFonts w:ascii="Times New Roman" w:eastAsia="Times New Roman" w:hAnsi="Times New Roman" w:cs="Times New Roman"/>
          <w:sz w:val="22"/>
          <w:szCs w:val="22"/>
        </w:rPr>
        <w:t xml:space="preserve">Suspiciunea bine întemeiată se poate baza pe dovezi sugestive și circumstanțiale de fraudă, de exemplu: </w:t>
      </w:r>
    </w:p>
    <w:p w14:paraId="24E2DE84" w14:textId="77777777" w:rsidR="00575735" w:rsidRPr="00152B91" w:rsidRDefault="00182B06">
      <w:pPr>
        <w:numPr>
          <w:ilvl w:val="0"/>
          <w:numId w:val="3"/>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lipsa unei documentații adecvate a cheltuielilor rambursate; </w:t>
      </w:r>
    </w:p>
    <w:p w14:paraId="2E7F26FA" w14:textId="77777777" w:rsidR="00575735" w:rsidRPr="00152B91" w:rsidRDefault="00182B06">
      <w:pPr>
        <w:numPr>
          <w:ilvl w:val="0"/>
          <w:numId w:val="3"/>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lipsa semnăturilor sau listele incomplete ale persoanelor cărora li s-a plătit o indemnizație pentru a participa la seminarii de formare; și </w:t>
      </w:r>
    </w:p>
    <w:p w14:paraId="5F070110" w14:textId="77777777" w:rsidR="00575735" w:rsidRPr="00152B91" w:rsidRDefault="00182B06">
      <w:pPr>
        <w:numPr>
          <w:ilvl w:val="0"/>
          <w:numId w:val="3"/>
        </w:numPr>
        <w:pBdr>
          <w:top w:val="nil"/>
          <w:left w:val="nil"/>
          <w:bottom w:val="nil"/>
          <w:right w:val="nil"/>
          <w:between w:val="nil"/>
        </w:pBdr>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indicarea puternică a faptului că semnăturile și documentele au fost falsificate. </w:t>
      </w:r>
    </w:p>
    <w:p w14:paraId="2AC09E27" w14:textId="77777777" w:rsidR="00575735" w:rsidRPr="00152B91" w:rsidRDefault="00575735">
      <w:pPr>
        <w:jc w:val="both"/>
        <w:rPr>
          <w:rFonts w:ascii="Times New Roman" w:eastAsia="Times New Roman" w:hAnsi="Times New Roman" w:cs="Times New Roman"/>
          <w:sz w:val="22"/>
          <w:szCs w:val="22"/>
        </w:rPr>
      </w:pPr>
    </w:p>
    <w:p w14:paraId="3A8001C1" w14:textId="77777777" w:rsidR="00575735" w:rsidRPr="00152B91" w:rsidRDefault="00182B06">
      <w:pPr>
        <w:jc w:val="both"/>
        <w:rPr>
          <w:rFonts w:ascii="Times New Roman" w:eastAsia="Times New Roman" w:hAnsi="Times New Roman" w:cs="Times New Roman"/>
          <w:sz w:val="22"/>
          <w:szCs w:val="22"/>
        </w:rPr>
      </w:pPr>
      <w:r w:rsidRPr="00152B91">
        <w:rPr>
          <w:rFonts w:ascii="Times New Roman" w:eastAsia="Times New Roman" w:hAnsi="Times New Roman" w:cs="Times New Roman"/>
          <w:sz w:val="22"/>
          <w:szCs w:val="22"/>
        </w:rPr>
        <w:t xml:space="preserve">Frauda dovedită se bazează pe o documentare clară a tipului de fraudă în cauză și/sau pe mărturisirea infractorului, gata să fie prezentată anchetelor poliției și instanței de judecată. </w:t>
      </w:r>
    </w:p>
    <w:p w14:paraId="5BD01CCF"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9EE06EA"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r w:rsidRPr="00152B91">
        <w:rPr>
          <w:rFonts w:ascii="Times New Roman" w:eastAsia="Times New Roman" w:hAnsi="Times New Roman" w:cs="Times New Roman"/>
          <w:b/>
          <w:color w:val="000000"/>
          <w:sz w:val="22"/>
          <w:szCs w:val="22"/>
        </w:rPr>
        <w:t xml:space="preserve">Măsuri de prevenire a fraudei, corupției, utilizării necorespunzătoare și gestionării defectuoase </w:t>
      </w:r>
    </w:p>
    <w:p w14:paraId="1B8C376C"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6D36D9BD"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avea un regulament intern de procedură, o politică de achiziții și un act constitutiv pentru a controla procedurile și pentru a preveni orice infracțiune. STUDEM va respecta întotdeauna aceste reglementări procedurale atât în activitățile interne, cât și în cele externe. STUDEM va lua măsuri corective prompte ori de câte ori se descoperă nereguli în rândul personalului, membrilor, contractanților sau partenerilor săi. </w:t>
      </w:r>
    </w:p>
    <w:p w14:paraId="6C4C07A4"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BCE12A5"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lastRenderedPageBreak/>
        <w:t xml:space="preserve">STUDEM va evita orice conflict de interese, inclusiv în legătură cu afilierile instituționale. Toate conflictele de interese potențiale sau reale vor fi dezvăluite imediat. O astfel de divulgare nu exclude și nu implică o indecență etică dacă se iau toate măsurile rezonabile pentru a rezolva conflictul de interese. </w:t>
      </w:r>
    </w:p>
    <w:p w14:paraId="6BAE055A"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0E103D7E"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STUDEM va respecta legile, obiceiurile și practicile de afaceri ale Republicii Moldova în care își desfășoară activitatea. STUDEM nu va comite sau aproba un act ilegal și nu va instrui un angajat, partener, membru sau contractant să facă acest lucru.</w:t>
      </w:r>
    </w:p>
    <w:p w14:paraId="2013BE8D"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081EE68" w14:textId="77777777" w:rsidR="00575735" w:rsidRPr="00152B91" w:rsidRDefault="00182B06">
      <w:pPr>
        <w:jc w:val="both"/>
        <w:rPr>
          <w:rFonts w:ascii="Times" w:eastAsia="Times" w:hAnsi="Times" w:cs="Times"/>
          <w:sz w:val="22"/>
          <w:szCs w:val="22"/>
        </w:rPr>
      </w:pPr>
      <w:r w:rsidRPr="00152B91">
        <w:rPr>
          <w:rFonts w:ascii="Times" w:eastAsia="Times" w:hAnsi="Times" w:cs="Times"/>
          <w:sz w:val="22"/>
          <w:szCs w:val="22"/>
        </w:rPr>
        <w:t xml:space="preserve">Următoarea clauză a Minestry of Foreign Affairs din Danemarca va fi inclusă în toate acordurile de proiect, subvenționare și finanțare: </w:t>
      </w:r>
    </w:p>
    <w:p w14:paraId="03A3D4B1" w14:textId="77777777" w:rsidR="00575735" w:rsidRPr="00152B91" w:rsidRDefault="00575735">
      <w:pPr>
        <w:jc w:val="both"/>
        <w:rPr>
          <w:sz w:val="22"/>
          <w:szCs w:val="22"/>
        </w:rPr>
      </w:pPr>
    </w:p>
    <w:p w14:paraId="3F2333A9" w14:textId="77777777" w:rsidR="00575735" w:rsidRPr="00152B91" w:rsidRDefault="00182B06">
      <w:pPr>
        <w:jc w:val="both"/>
        <w:rPr>
          <w:rFonts w:ascii="Times New Roman" w:eastAsia="Times New Roman" w:hAnsi="Times New Roman" w:cs="Times New Roman"/>
        </w:rPr>
      </w:pPr>
      <w:r w:rsidRPr="00152B91">
        <w:rPr>
          <w:rFonts w:ascii="Times New Roman" w:eastAsia="Times New Roman" w:hAnsi="Times New Roman" w:cs="Times New Roman"/>
        </w:rPr>
        <w:t xml:space="preserve">Clauza anticorupție </w:t>
      </w:r>
    </w:p>
    <w:p w14:paraId="4481BE6D" w14:textId="77777777" w:rsidR="00575735" w:rsidRPr="00152B91" w:rsidRDefault="00575735">
      <w:pPr>
        <w:jc w:val="both"/>
        <w:rPr>
          <w:rFonts w:ascii="Times New Roman" w:eastAsia="Times New Roman" w:hAnsi="Times New Roman" w:cs="Times New Roman"/>
        </w:rPr>
      </w:pPr>
    </w:p>
    <w:p w14:paraId="407321E1" w14:textId="77777777" w:rsidR="00575735" w:rsidRPr="00152B91" w:rsidRDefault="00182B06">
      <w:pPr>
        <w:ind w:left="720"/>
        <w:jc w:val="both"/>
        <w:rPr>
          <w:rFonts w:ascii="Times New Roman" w:eastAsia="Times New Roman" w:hAnsi="Times New Roman" w:cs="Times New Roman"/>
          <w:i/>
          <w:sz w:val="21"/>
          <w:szCs w:val="21"/>
        </w:rPr>
      </w:pPr>
      <w:r w:rsidRPr="00152B91">
        <w:rPr>
          <w:rFonts w:ascii="Times New Roman" w:eastAsia="Times New Roman" w:hAnsi="Times New Roman" w:cs="Times New Roman"/>
          <w:i/>
          <w:sz w:val="21"/>
          <w:szCs w:val="21"/>
        </w:rPr>
        <w:t xml:space="preserve">"Nicio ofertă, plată, contraprestație sau beneficiu de orice fel, care ar putea fi considerată o practică ilegală sau coruptă, nu va fi făcută, promisă, solicitată sau acceptată – nici direct, nici indirect – ca stimulent sau recompensă în legătură cu activitățile finanțate în temeiul prezentului acord, inclusiv ofertarea, atribuirea sau executarea contractelor. Orice astfel de practică va constitui un motiv pentru anularea imediată a prezentului acord și pentru acțiuni suplimentare, civile și/sau penale, după caz. La discreția Ministerului Regal Danez al Afacerilor Externe, o altă consecință </w:t>
      </w:r>
      <w:proofErr w:type="gramStart"/>
      <w:r w:rsidRPr="00152B91">
        <w:rPr>
          <w:rFonts w:ascii="Times New Roman" w:eastAsia="Times New Roman" w:hAnsi="Times New Roman" w:cs="Times New Roman"/>
          <w:i/>
          <w:sz w:val="21"/>
          <w:szCs w:val="21"/>
        </w:rPr>
        <w:t>a</w:t>
      </w:r>
      <w:proofErr w:type="gramEnd"/>
      <w:r w:rsidRPr="00152B91">
        <w:rPr>
          <w:rFonts w:ascii="Times New Roman" w:eastAsia="Times New Roman" w:hAnsi="Times New Roman" w:cs="Times New Roman"/>
          <w:i/>
          <w:sz w:val="21"/>
          <w:szCs w:val="21"/>
        </w:rPr>
        <w:t xml:space="preserve"> oricărei astfel de practici poate fi excluderea definitivă din orice proiect finanțat de Ministerul danez al Afacerilor Externe.</w:t>
      </w:r>
    </w:p>
    <w:p w14:paraId="1BE79D1E"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1F833C5A"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Contabilitatea și finanțele STUDEM vor fi auditate lunar de către responsabilul bugetar al partenerului [Silba]. </w:t>
      </w:r>
    </w:p>
    <w:p w14:paraId="08AF01DF"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CE76BD4"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r w:rsidRPr="00152B91">
        <w:rPr>
          <w:rFonts w:ascii="Times New Roman" w:eastAsia="Times New Roman" w:hAnsi="Times New Roman" w:cs="Times New Roman"/>
          <w:b/>
          <w:color w:val="000000"/>
          <w:sz w:val="22"/>
          <w:szCs w:val="22"/>
        </w:rPr>
        <w:t>Egalitatea</w:t>
      </w:r>
    </w:p>
    <w:p w14:paraId="1520771D"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198657D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Egalitatea de șanse este asigurată în procesele de recrutare și în deciziile privind dezvoltarea și/sau avansarea personalului. Astfel de decizii trebuie luate pe baza performanțelor și meritelor, iar orice suspiciune de a fundamenta o decizie pe identificarea genului, sexualitatea, sexul, religia, cultura, etnia, limba, abilitățile mentale și fizice, afilierea politică, mediul social și statutul financiar vor fi luate în serios și tratate în conformitate cu codul de conduită relevant. </w:t>
      </w:r>
    </w:p>
    <w:p w14:paraId="51E5D2AA"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 </w:t>
      </w:r>
    </w:p>
    <w:p w14:paraId="78CF96A0"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Hărțuirea sexuală, exploatarea și abuzul </w:t>
      </w:r>
    </w:p>
    <w:p w14:paraId="4ED27448"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7AC3C73E"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are toleranță zero față de hărțuirea sexuală. Hărțuirea sexuală este înțeleasă ca un comportament non-verbal, verbal sau fizic nedorit de natură sexuală. Angajații, partenerii, membrii, beneficiarii sau alte persoane, care sunt supuse hărțuirii sexuale, sunt încurajați să raporteze conform procedurii din Codul de conduită. Trebuie puse în aplicare politici și proceduri clare pentru a asigura gestionarea profesională a rapoartelor interne de hărțuire sexuală. </w:t>
      </w:r>
    </w:p>
    <w:p w14:paraId="43BF949A"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27B4B42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La cererea partenerilor [CREEDD și Silba], participarea STUDEM la procedurile anti-hărțuire și divulgarea oricăror informații relevante pentru proceduri este obligatorie. Neparticiparea la procedurile anti-hărțuire, la cererea partenerilor, poate determina partenerii să înceteze relația de afaceri relevantă. </w:t>
      </w:r>
    </w:p>
    <w:p w14:paraId="5A71398D"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44B9C531"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interzice exploatarea și abuzul sexual și consideră astfel de acte drept abateri grave, care pot constitui motive pentru sancțiuni disciplinare, inclusiv concedierea sumară, retragerea finanțării actuale și anterioare și proceduri penale. Exploatarea sexuală este definită ca abuzul unei poziții de vulnerabilitate, putere diferențială sau încredere în scopuri sexuale. Abuzul sexual este definit ca </w:t>
      </w:r>
      <w:r w:rsidRPr="00152B91">
        <w:rPr>
          <w:rFonts w:ascii="Times New Roman" w:eastAsia="Times New Roman" w:hAnsi="Times New Roman" w:cs="Times New Roman"/>
          <w:color w:val="000000"/>
          <w:sz w:val="22"/>
          <w:szCs w:val="22"/>
        </w:rPr>
        <w:lastRenderedPageBreak/>
        <w:t xml:space="preserve">intruziunea fizică reală sau amenințată de natură sexuală, inclusiv atingerea necorespunzătoare, prin forță sau în condiții inegale sau coercitive. </w:t>
      </w:r>
    </w:p>
    <w:p w14:paraId="25CEC304"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081C3E9B"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interzice schimbul de bani, locuri de muncă, bunuri, asistență sau servicii pentru sex, inclusiv favoruri sexuale sau alte forme de comportament umilitor, degradant sau exploatator, indiferent dacă o astfel de activitate (de exemplu, prostituția) este legală în țara de muncă. </w:t>
      </w:r>
    </w:p>
    <w:p w14:paraId="3E9A8518"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48F0B9D1"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interzice strict activitatea sexuală cu persoane sub vârsta de 18 ani, indiferent de vârsta locală de consimțământ. Credința greșită cu privire la vârsta unui copil nu este o apărare acceptabilă. </w:t>
      </w:r>
    </w:p>
    <w:p w14:paraId="5615676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Relațiile sexuale dintre angajații STUDEM și membrii organizațiilor partenere STUDEM sunt puternic descurajate, deoarece se bazează pe dinamica inerent inegală a puterii și ar putea submina credibilitatea STUDEM. Angajații STUDEM sau membrii consiliului de administrație implicați în astfel de relații ar trebui să raporteze partenerului relevant în conformitate cu Codul de conduită, pentru a evita potențialele conflicte de interese. Atunci când un angajat STUDEM sau partener dezvoltă preocupări sau suspiciuni cu privire la exploatarea sau abuzul sexual, de către un angajat STUDEM sau partener sau personalul conex, astfel de preocupări trebuie raportate prin intermediul procedurilor de raportare stabilite. </w:t>
      </w:r>
    </w:p>
    <w:p w14:paraId="0E2DE55E"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11C50B09"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Salarii și beneficii </w:t>
      </w:r>
    </w:p>
    <w:p w14:paraId="4F452179"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Salariile și anumite beneficii se bazează pe performanță și merit. Salariul unui agent angajat cu normă întreagă trebuie să fie suficient pentru a acoperi necesitățile de bază (hrană, apă, locuință, asistență medicală, transport). Îngrijitorilor li se permite o formă de concediu de maternitate și/sau parental. </w:t>
      </w:r>
    </w:p>
    <w:p w14:paraId="2A220A8E"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Impunerea orelor suplimentare, în cazul în care un membru al personalului nu poate părăsi locul de muncă din cauza amenințărilor angajatorilor, de exemplu cu abuzul, concedierea sau alte sancțiuni, nu este permisă în niciun caz. </w:t>
      </w:r>
    </w:p>
    <w:p w14:paraId="76FBBD21"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293892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r w:rsidRPr="00152B91">
        <w:rPr>
          <w:rFonts w:ascii="Times New Roman" w:eastAsia="Times New Roman" w:hAnsi="Times New Roman" w:cs="Times New Roman"/>
          <w:b/>
          <w:color w:val="000000"/>
          <w:sz w:val="22"/>
          <w:szCs w:val="22"/>
        </w:rPr>
        <w:t xml:space="preserve">Eficiență, eficacitate și evaluare </w:t>
      </w:r>
    </w:p>
    <w:p w14:paraId="6100B7CA"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7397A36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își organizează activitatea în mod eficient și profesionist și se asigură că toate activitățile sunt în concordanță cu misiunea sa declarată public. </w:t>
      </w:r>
    </w:p>
    <w:p w14:paraId="1B65DE79"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2E149941"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examina critic activitățile sale pentru a determina relevanța lor pentru misiune, eficiența și eficacitatea lor, valoarea continuării programelor sau revizuirea lor și necesitatea unor noi programe. </w:t>
      </w:r>
    </w:p>
    <w:p w14:paraId="67482F8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57540A82"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Evaluările trebuie să fie oneste și să includă contribuții de la o varietate de părți interesate, inclusiv partenerii, membrii STUDEM, consiliul de administrație și angajatorul administrativ. </w:t>
      </w:r>
    </w:p>
    <w:p w14:paraId="4E240D78"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 </w:t>
      </w:r>
    </w:p>
    <w:p w14:paraId="5825922E"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STUDEM va avea un sistem de management al calității cu raportare lunară și trimestrială către parteneri, cu proceduri însoțitoare pentru a urmări implementarea tuturor activităților sale și ca metodologie pentru îmbunătățirea continuă a atingerii obiectivelor organizației.</w:t>
      </w:r>
    </w:p>
    <w:p w14:paraId="3465C388"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14:paraId="3F0B038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Guvernanță și personal </w:t>
      </w:r>
    </w:p>
    <w:p w14:paraId="249465E9"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avea un consiliu independent de tineret care să dețină responsabilitatea finală pentru toate activitățile și resursele (umane și financiare) ale organizației. Funcționarea consiliului (structura, termenul, durata, procesul de numire, motivele anulării, responsabilitățile, frecvența și modul de conduită) este stabilită în statut și în regulamentul de procedură relevant. </w:t>
      </w:r>
    </w:p>
    <w:p w14:paraId="6C1650C4"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14:paraId="2F256717"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Finanțele și utilizarea fondurilor </w:t>
      </w:r>
    </w:p>
    <w:p w14:paraId="48F0A8CF"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lastRenderedPageBreak/>
        <w:t>STUDEM va pune în aplicare proceduri de achiziții financiare și juridice pentru a se asigura că fondurile sunt gestionate în condiții de siguranță și în conformitate cu misiunea declarată.</w:t>
      </w:r>
    </w:p>
    <w:p w14:paraId="5388E3AA"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4592E220"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avea înregistrările financiare auditate în mod regulat de către o firmă de audit calificată și recunoscută pentru a certifica faptul că organizația funcționează în deplină conformitate cu legea și liniile directoare de finanțare contemporane. </w:t>
      </w:r>
    </w:p>
    <w:p w14:paraId="2EF9B8A6"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D2D75AC"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STUDEM va oferi transparență deplină cu privire la cheltuielile sale financiare la cerere și este obligat să prezinte bugetul său recent actualizat pe site.</w:t>
      </w:r>
    </w:p>
    <w:p w14:paraId="14081843"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14:paraId="15976E7A"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b/>
          <w:color w:val="000000"/>
          <w:sz w:val="22"/>
          <w:szCs w:val="22"/>
        </w:rPr>
        <w:t xml:space="preserve">Parteneriate și crearea de rețele </w:t>
      </w:r>
    </w:p>
    <w:p w14:paraId="6D75F145"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căuta să-și coordoneze activitățile și să formeze parteneriate cu organizații similare și să colaboreze pentru a atinge obiective comune, pentru a reduce duplicarea și utilizarea resurselor în scopuri competitive. </w:t>
      </w:r>
    </w:p>
    <w:p w14:paraId="60B5D1AF" w14:textId="77777777" w:rsidR="00575735" w:rsidRPr="00152B91"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3A3A1CE3" w14:textId="77777777" w:rsidR="00575735" w:rsidRPr="00152B91" w:rsidRDefault="00182B06">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152B91">
        <w:rPr>
          <w:rFonts w:ascii="Times New Roman" w:eastAsia="Times New Roman" w:hAnsi="Times New Roman" w:cs="Times New Roman"/>
          <w:color w:val="000000"/>
          <w:sz w:val="22"/>
          <w:szCs w:val="22"/>
        </w:rPr>
        <w:t xml:space="preserve">STUDEM va căuta să-și coordoneze activitățile și să împărtășească informații cu alte centre locale de tineret și inițiative de tineret cu obiective similare pentru a reduce duplicarea și concurența. </w:t>
      </w:r>
    </w:p>
    <w:p w14:paraId="62730309" w14:textId="77777777" w:rsidR="00575735" w:rsidRPr="00152B91" w:rsidRDefault="00575735">
      <w:pPr>
        <w:spacing w:line="276" w:lineRule="auto"/>
        <w:jc w:val="both"/>
        <w:rPr>
          <w:rFonts w:ascii="Times New Roman" w:eastAsia="Times New Roman" w:hAnsi="Times New Roman" w:cs="Times New Roman"/>
          <w:sz w:val="22"/>
          <w:szCs w:val="22"/>
        </w:rPr>
      </w:pPr>
    </w:p>
    <w:p w14:paraId="7148508D" w14:textId="77777777" w:rsidR="00575735" w:rsidRDefault="00182B06">
      <w:pPr>
        <w:spacing w:line="276" w:lineRule="auto"/>
        <w:jc w:val="both"/>
        <w:rPr>
          <w:rFonts w:ascii="Times New Roman" w:eastAsia="Times New Roman" w:hAnsi="Times New Roman" w:cs="Times New Roman"/>
          <w:sz w:val="22"/>
          <w:szCs w:val="22"/>
        </w:rPr>
      </w:pPr>
      <w:r w:rsidRPr="00152B91">
        <w:rPr>
          <w:rFonts w:ascii="Times New Roman" w:eastAsia="Times New Roman" w:hAnsi="Times New Roman" w:cs="Times New Roman"/>
          <w:sz w:val="22"/>
          <w:szCs w:val="22"/>
        </w:rPr>
        <w:t>STUDEM se conectează cu alte organizații neguvernamentale pentru a promova creșterea, eficacitatea și eficiența sectorului de dezvoltare a tineretului și capacitatea acestuia de a promova binele public.</w:t>
      </w:r>
    </w:p>
    <w:p w14:paraId="7E471AB8" w14:textId="77777777" w:rsidR="00575735" w:rsidRDefault="00575735">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14:paraId="08D8FB75" w14:textId="5F51737F" w:rsidR="00575735" w:rsidRDefault="00575735">
      <w:pPr>
        <w:spacing w:line="276" w:lineRule="auto"/>
        <w:jc w:val="both"/>
        <w:rPr>
          <w:rFonts w:ascii="Times New Roman" w:eastAsia="Times New Roman" w:hAnsi="Times New Roman" w:cs="Times New Roman"/>
          <w:sz w:val="22"/>
          <w:szCs w:val="22"/>
        </w:rPr>
      </w:pPr>
    </w:p>
    <w:sectPr w:rsidR="005757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839D" w14:textId="77777777" w:rsidR="00841BBA" w:rsidRDefault="00841BBA">
      <w:r>
        <w:separator/>
      </w:r>
    </w:p>
  </w:endnote>
  <w:endnote w:type="continuationSeparator" w:id="0">
    <w:p w14:paraId="1A264DD0" w14:textId="77777777" w:rsidR="00841BBA" w:rsidRDefault="0084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2A39" w14:textId="77777777" w:rsidR="00575735" w:rsidRDefault="00182B06">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1FE87219" w14:textId="77777777" w:rsidR="00575735" w:rsidRDefault="00575735">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2FB8" w14:textId="77777777" w:rsidR="00575735" w:rsidRDefault="00182B06">
    <w:pPr>
      <w:pBdr>
        <w:top w:val="nil"/>
        <w:left w:val="nil"/>
        <w:bottom w:val="nil"/>
        <w:right w:val="nil"/>
        <w:between w:val="nil"/>
      </w:pBdr>
      <w:tabs>
        <w:tab w:val="center" w:pos="4513"/>
        <w:tab w:val="right" w:pos="9026"/>
      </w:tabs>
      <w:jc w:val="right"/>
      <w:rPr>
        <w:rFonts w:ascii="Times" w:eastAsia="Times" w:hAnsi="Times" w:cs="Times"/>
        <w:color w:val="000000"/>
      </w:rPr>
    </w:pPr>
    <w:r>
      <w:rPr>
        <w:rFonts w:ascii="Times" w:eastAsia="Times" w:hAnsi="Times" w:cs="Times"/>
        <w:color w:val="000000"/>
      </w:rPr>
      <w:fldChar w:fldCharType="begin"/>
    </w:r>
    <w:r>
      <w:rPr>
        <w:rFonts w:ascii="Times" w:eastAsia="Times" w:hAnsi="Times" w:cs="Times"/>
        <w:color w:val="000000"/>
      </w:rPr>
      <w:instrText>PAGE</w:instrText>
    </w:r>
    <w:r>
      <w:rPr>
        <w:rFonts w:ascii="Times" w:eastAsia="Times" w:hAnsi="Times" w:cs="Times"/>
        <w:color w:val="000000"/>
      </w:rPr>
      <w:fldChar w:fldCharType="separate"/>
    </w:r>
    <w:r w:rsidR="000631DF">
      <w:rPr>
        <w:rFonts w:ascii="Times" w:eastAsia="Times" w:hAnsi="Times" w:cs="Times"/>
        <w:noProof/>
        <w:color w:val="000000"/>
      </w:rPr>
      <w:t>1</w:t>
    </w:r>
    <w:r>
      <w:rPr>
        <w:rFonts w:ascii="Times" w:eastAsia="Times" w:hAnsi="Times" w:cs="Times"/>
        <w:color w:val="000000"/>
      </w:rPr>
      <w:fldChar w:fldCharType="end"/>
    </w:r>
    <w:r>
      <w:rPr>
        <w:rFonts w:ascii="Times" w:eastAsia="Times" w:hAnsi="Times" w:cs="Times"/>
        <w:color w:val="000000"/>
      </w:rPr>
      <w:t xml:space="preserve"> din 7 </w:t>
    </w:r>
  </w:p>
  <w:p w14:paraId="0AB67592" w14:textId="77777777" w:rsidR="00575735" w:rsidRDefault="00575735">
    <w:pPr>
      <w:pBdr>
        <w:top w:val="nil"/>
        <w:left w:val="nil"/>
        <w:bottom w:val="nil"/>
        <w:right w:val="nil"/>
        <w:between w:val="nil"/>
      </w:pBdr>
      <w:tabs>
        <w:tab w:val="center" w:pos="4513"/>
        <w:tab w:val="right" w:pos="9026"/>
      </w:tabs>
      <w:ind w:right="360"/>
      <w:rPr>
        <w:rFonts w:ascii="Times" w:eastAsia="Times" w:hAnsi="Times" w:cs="Times"/>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62C3" w14:textId="77777777" w:rsidR="00575735" w:rsidRDefault="0057573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C846" w14:textId="77777777" w:rsidR="00841BBA" w:rsidRDefault="00841BBA">
      <w:r>
        <w:separator/>
      </w:r>
    </w:p>
  </w:footnote>
  <w:footnote w:type="continuationSeparator" w:id="0">
    <w:p w14:paraId="64869F31" w14:textId="77777777" w:rsidR="00841BBA" w:rsidRDefault="00841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947B" w14:textId="77777777" w:rsidR="00575735" w:rsidRDefault="00575735">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425A" w14:textId="77777777" w:rsidR="00575735" w:rsidRDefault="00182B06">
    <w:pPr>
      <w:pBdr>
        <w:top w:val="nil"/>
        <w:left w:val="nil"/>
        <w:bottom w:val="nil"/>
        <w:right w:val="nil"/>
        <w:between w:val="nil"/>
      </w:pBdr>
      <w:tabs>
        <w:tab w:val="center" w:pos="4513"/>
        <w:tab w:val="right" w:pos="9026"/>
      </w:tabs>
      <w:rPr>
        <w:color w:val="000000"/>
      </w:rPr>
    </w:pPr>
    <w:r>
      <w:rPr>
        <w:rFonts w:ascii="Times New Roman" w:eastAsia="Times New Roman" w:hAnsi="Times New Roman" w:cs="Times New Roman"/>
        <w:color w:val="000000"/>
        <w:sz w:val="22"/>
        <w:szCs w:val="22"/>
      </w:rPr>
      <w:t>ianuarie 18, 2022</w:t>
    </w:r>
    <w:r>
      <w:rPr>
        <w:noProof/>
      </w:rPr>
      <w:drawing>
        <wp:anchor distT="0" distB="0" distL="114300" distR="114300" simplePos="0" relativeHeight="251658240" behindDoc="0" locked="0" layoutInCell="1" hidden="0" allowOverlap="1" wp14:anchorId="13FC8A95" wp14:editId="5A5D3152">
          <wp:simplePos x="0" y="0"/>
          <wp:positionH relativeFrom="column">
            <wp:posOffset>5384589</wp:posOffset>
          </wp:positionH>
          <wp:positionV relativeFrom="paragraph">
            <wp:posOffset>-212089</wp:posOffset>
          </wp:positionV>
          <wp:extent cx="369788" cy="677333"/>
          <wp:effectExtent l="0" t="0" r="0" b="0"/>
          <wp:wrapNone/>
          <wp:docPr id="6" name="image1.png" descr="Siglă&#10;&#10;Descriere generată automat"/>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369788" cy="677333"/>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290A" w14:textId="77777777" w:rsidR="00575735" w:rsidRDefault="00575735">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6A4A"/>
    <w:multiLevelType w:val="multilevel"/>
    <w:tmpl w:val="EB3E4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8185A"/>
    <w:multiLevelType w:val="multilevel"/>
    <w:tmpl w:val="C5F87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F36441"/>
    <w:multiLevelType w:val="multilevel"/>
    <w:tmpl w:val="D7D6EE6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B34A3D"/>
    <w:multiLevelType w:val="multilevel"/>
    <w:tmpl w:val="87DA214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0B7676"/>
    <w:multiLevelType w:val="multilevel"/>
    <w:tmpl w:val="9C7A9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4073429">
    <w:abstractNumId w:val="1"/>
  </w:num>
  <w:num w:numId="2" w16cid:durableId="2083603041">
    <w:abstractNumId w:val="0"/>
  </w:num>
  <w:num w:numId="3" w16cid:durableId="27337025">
    <w:abstractNumId w:val="4"/>
  </w:num>
  <w:num w:numId="4" w16cid:durableId="2144731945">
    <w:abstractNumId w:val="2"/>
  </w:num>
  <w:num w:numId="5" w16cid:durableId="1391807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35"/>
    <w:rsid w:val="000631DF"/>
    <w:rsid w:val="00152B91"/>
    <w:rsid w:val="00182B06"/>
    <w:rsid w:val="00560A37"/>
    <w:rsid w:val="00575735"/>
    <w:rsid w:val="00806125"/>
    <w:rsid w:val="00841BBA"/>
    <w:rsid w:val="00E35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4151"/>
  <w15:docId w15:val="{A265EEED-0781-449D-824E-731C9799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80" w:after="120"/>
      <w:outlineLvl w:val="0"/>
    </w:pPr>
    <w:rPr>
      <w:b/>
      <w:sz w:val="48"/>
      <w:szCs w:val="48"/>
    </w:rPr>
  </w:style>
  <w:style w:type="paragraph" w:styleId="Titlu2">
    <w:name w:val="heading 2"/>
    <w:basedOn w:val="Normal"/>
    <w:next w:val="Normal"/>
    <w:uiPriority w:val="9"/>
    <w:semiHidden/>
    <w:unhideWhenUsed/>
    <w:qFormat/>
    <w:pPr>
      <w:keepNext/>
      <w:keepLines/>
      <w:spacing w:before="360" w:after="80"/>
      <w:outlineLvl w:val="1"/>
    </w:pPr>
    <w:rPr>
      <w:b/>
      <w:sz w:val="36"/>
      <w:szCs w:val="36"/>
    </w:rPr>
  </w:style>
  <w:style w:type="paragraph" w:styleId="Titlu3">
    <w:name w:val="heading 3"/>
    <w:basedOn w:val="Normal"/>
    <w:next w:val="Normal"/>
    <w:uiPriority w:val="9"/>
    <w:semiHidden/>
    <w:unhideWhenUsed/>
    <w:qFormat/>
    <w:pPr>
      <w:keepNext/>
      <w:keepLines/>
      <w:spacing w:before="280" w:after="80"/>
      <w:outlineLvl w:val="2"/>
    </w:pPr>
    <w:rPr>
      <w:b/>
      <w:sz w:val="28"/>
      <w:szCs w:val="28"/>
    </w:rPr>
  </w:style>
  <w:style w:type="paragraph" w:styleId="Titlu4">
    <w:name w:val="heading 4"/>
    <w:basedOn w:val="Normal"/>
    <w:next w:val="Normal"/>
    <w:uiPriority w:val="9"/>
    <w:semiHidden/>
    <w:unhideWhenUsed/>
    <w:qFormat/>
    <w:pPr>
      <w:keepNext/>
      <w:keepLines/>
      <w:spacing w:before="240" w:after="40"/>
      <w:outlineLvl w:val="3"/>
    </w:pPr>
    <w:rPr>
      <w:b/>
    </w:rPr>
  </w:style>
  <w:style w:type="paragraph" w:styleId="Titlu5">
    <w:name w:val="heading 5"/>
    <w:basedOn w:val="Normal"/>
    <w:next w:val="Normal"/>
    <w:uiPriority w:val="9"/>
    <w:semiHidden/>
    <w:unhideWhenUsed/>
    <w:qFormat/>
    <w:pPr>
      <w:keepNext/>
      <w:keepLines/>
      <w:spacing w:before="220" w:after="40"/>
      <w:outlineLvl w:val="4"/>
    </w:pPr>
    <w:rPr>
      <w:b/>
      <w:sz w:val="22"/>
      <w:szCs w:val="22"/>
    </w:rPr>
  </w:style>
  <w:style w:type="paragraph" w:styleId="Titlu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uiPriority w:val="10"/>
    <w:qFormat/>
    <w:pPr>
      <w:keepNext/>
      <w:keepLines/>
      <w:spacing w:before="480" w:after="120"/>
    </w:pPr>
    <w:rPr>
      <w:b/>
      <w:sz w:val="72"/>
      <w:szCs w:val="72"/>
    </w:rPr>
  </w:style>
  <w:style w:type="paragraph" w:customStyle="1" w:styleId="Default">
    <w:name w:val="Default"/>
    <w:rsid w:val="00F66313"/>
    <w:pPr>
      <w:autoSpaceDE w:val="0"/>
      <w:autoSpaceDN w:val="0"/>
      <w:adjustRightInd w:val="0"/>
    </w:pPr>
    <w:rPr>
      <w:rFonts w:ascii="Times New Roman" w:hAnsi="Times New Roman" w:cs="Times New Roman"/>
      <w:color w:val="000000"/>
    </w:rPr>
  </w:style>
  <w:style w:type="paragraph" w:styleId="Antet">
    <w:name w:val="header"/>
    <w:basedOn w:val="Normal"/>
    <w:link w:val="AntetCaracter"/>
    <w:uiPriority w:val="99"/>
    <w:unhideWhenUsed/>
    <w:rsid w:val="00F66313"/>
    <w:pPr>
      <w:tabs>
        <w:tab w:val="center" w:pos="4513"/>
        <w:tab w:val="right" w:pos="9026"/>
      </w:tabs>
    </w:pPr>
  </w:style>
  <w:style w:type="character" w:customStyle="1" w:styleId="AntetCaracter">
    <w:name w:val="Antet Caracter"/>
    <w:basedOn w:val="Fontdeparagrafimplicit"/>
    <w:link w:val="Antet"/>
    <w:uiPriority w:val="99"/>
    <w:rsid w:val="00F66313"/>
  </w:style>
  <w:style w:type="paragraph" w:styleId="Subsol">
    <w:name w:val="footer"/>
    <w:basedOn w:val="Normal"/>
    <w:link w:val="SubsolCaracter"/>
    <w:uiPriority w:val="99"/>
    <w:unhideWhenUsed/>
    <w:rsid w:val="00F66313"/>
    <w:pPr>
      <w:tabs>
        <w:tab w:val="center" w:pos="4513"/>
        <w:tab w:val="right" w:pos="9026"/>
      </w:tabs>
    </w:pPr>
  </w:style>
  <w:style w:type="character" w:customStyle="1" w:styleId="SubsolCaracter">
    <w:name w:val="Subsol Caracter"/>
    <w:basedOn w:val="Fontdeparagrafimplicit"/>
    <w:link w:val="Subsol"/>
    <w:uiPriority w:val="99"/>
    <w:rsid w:val="00F66313"/>
  </w:style>
  <w:style w:type="character" w:styleId="Numrdepagin">
    <w:name w:val="page number"/>
    <w:basedOn w:val="Fontdeparagrafimplicit"/>
    <w:uiPriority w:val="99"/>
    <w:semiHidden/>
    <w:unhideWhenUsed/>
    <w:rsid w:val="00F66313"/>
  </w:style>
  <w:style w:type="paragraph" w:styleId="Listparagraf">
    <w:name w:val="List Paragraph"/>
    <w:basedOn w:val="Normal"/>
    <w:uiPriority w:val="34"/>
    <w:qFormat/>
    <w:rsid w:val="00AE7C1E"/>
    <w:pPr>
      <w:ind w:left="720"/>
      <w:contextualSpacing/>
    </w:pPr>
  </w:style>
  <w:style w:type="paragraph" w:styleId="Revizuire">
    <w:name w:val="Revision"/>
    <w:hidden/>
    <w:uiPriority w:val="99"/>
    <w:semiHidden/>
    <w:rsid w:val="00900E66"/>
  </w:style>
  <w:style w:type="character" w:styleId="Referincomentariu">
    <w:name w:val="annotation reference"/>
    <w:basedOn w:val="Fontdeparagrafimplicit"/>
    <w:uiPriority w:val="99"/>
    <w:semiHidden/>
    <w:unhideWhenUsed/>
    <w:rsid w:val="00417F3F"/>
    <w:rPr>
      <w:sz w:val="16"/>
      <w:szCs w:val="16"/>
    </w:rPr>
  </w:style>
  <w:style w:type="paragraph" w:styleId="Textcomentariu">
    <w:name w:val="annotation text"/>
    <w:basedOn w:val="Normal"/>
    <w:link w:val="TextcomentariuCaracter"/>
    <w:uiPriority w:val="99"/>
    <w:semiHidden/>
    <w:unhideWhenUsed/>
    <w:rsid w:val="00417F3F"/>
    <w:rPr>
      <w:sz w:val="20"/>
      <w:szCs w:val="20"/>
    </w:rPr>
  </w:style>
  <w:style w:type="character" w:customStyle="1" w:styleId="TextcomentariuCaracter">
    <w:name w:val="Text comentariu Caracter"/>
    <w:basedOn w:val="Fontdeparagrafimplicit"/>
    <w:link w:val="Textcomentariu"/>
    <w:uiPriority w:val="99"/>
    <w:semiHidden/>
    <w:rsid w:val="00417F3F"/>
    <w:rPr>
      <w:sz w:val="20"/>
      <w:szCs w:val="20"/>
    </w:rPr>
  </w:style>
  <w:style w:type="paragraph" w:styleId="SubiectComentariu">
    <w:name w:val="annotation subject"/>
    <w:basedOn w:val="Textcomentariu"/>
    <w:next w:val="Textcomentariu"/>
    <w:link w:val="SubiectComentariuCaracter"/>
    <w:uiPriority w:val="99"/>
    <w:semiHidden/>
    <w:unhideWhenUsed/>
    <w:rsid w:val="00417F3F"/>
    <w:rPr>
      <w:b/>
      <w:bCs/>
    </w:rPr>
  </w:style>
  <w:style w:type="character" w:customStyle="1" w:styleId="SubiectComentariuCaracter">
    <w:name w:val="Subiect Comentariu Caracter"/>
    <w:basedOn w:val="TextcomentariuCaracter"/>
    <w:link w:val="SubiectComentariu"/>
    <w:uiPriority w:val="99"/>
    <w:semiHidden/>
    <w:rsid w:val="00417F3F"/>
    <w:rPr>
      <w:b/>
      <w:bCs/>
      <w:sz w:val="20"/>
      <w:szCs w:val="20"/>
    </w:rPr>
  </w:style>
  <w:style w:type="paragraph" w:styleId="Subtitlu">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substituent">
    <w:name w:val="Placeholder Text"/>
    <w:basedOn w:val="Fontdeparagrafimplicit"/>
    <w:uiPriority w:val="99"/>
    <w:semiHidden/>
    <w:rsid w:val="00560A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wy4QB4oLQr+zYdrKzJAWqnvb4g==">AMUW2mXRg9VmnJVyXpOFHpkOXWn7CRQdFMRvB67KADZG+7Jx6jfEcYK69G6ZcHFGXEwqufj0PARtdK0i7u3/Tg9H1tCVCV32M+SAOpVmpmP3GzSRhxyXoSY=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2735</Words>
  <Characters>15864</Characters>
  <Application>Microsoft Office Word</Application>
  <DocSecurity>0</DocSecurity>
  <Lines>132</Lines>
  <Paragraphs>37</Paragraphs>
  <ScaleCrop>false</ScaleCrop>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frederikke jacobsen</dc:creator>
  <cp:lastModifiedBy>Vlad Goncear</cp:lastModifiedBy>
  <cp:revision>2</cp:revision>
  <dcterms:created xsi:type="dcterms:W3CDTF">2022-05-26T07:45:00Z</dcterms:created>
  <dcterms:modified xsi:type="dcterms:W3CDTF">2024-03-10T16:43:00Z</dcterms:modified>
</cp:coreProperties>
</file>