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微软雅黑"/>
          <w:b/>
          <w:i w:val="0"/>
          <w:color w:val="000000"/>
          <w:sz w:val="52"/>
        </w:rPr>
        <w:t>心情日历</w:t>
      </w:r>
    </w:p>
    <w:p>
      <w:pPr>
        <w:pStyle w:val="Subtitle"/>
      </w:pPr>
      <w:r>
        <w:rPr>
          <w:rFonts w:ascii="Calibri" w:hAnsi="Calibri" w:eastAsia="微软雅黑"/>
          <w:b/>
          <w:i w:val="0"/>
          <w:color w:val="000000"/>
          <w:sz w:val="42"/>
        </w:rPr>
        <w:t>概要设计说明书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Mood Calendar    软件工程文档    V1.0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8064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文档信息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文档编号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MC-DOC-02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适用版本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仓库与功能代码基线 698d6fe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编制日期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2026年9月22日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阅读对象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架构评审人员、集成人员、开发维护人员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仓库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https://github.com/NaHSIT/mood_calendar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阅读说明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说明应用总体结构、模块职责、数据流、部署边界和关键设计取舍，为模块协作与后续接入提供整体视图。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本版本为 Android 本地原型。校园照护使用演示身份、模拟健康数据及模拟学校平台，适合项目演示、代码评审和功能验收。文档中的规则数值描述当前软件行为，不作为临床诊断或学校实际处置标准。</w:t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内容导航</w:t>
      </w:r>
    </w:p>
    <w:p>
      <w:pPr>
        <w:spacing w:after="20" w:line="252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1 总体架构</w:t>
      </w:r>
    </w:p>
    <w:p>
      <w:pPr>
        <w:spacing w:after="20" w:line="252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2 模块职责与依赖</w:t>
      </w:r>
    </w:p>
    <w:p>
      <w:pPr>
        <w:spacing w:after="20" w:line="252" w:lineRule="auto"/>
      </w:pPr>
      <w:r>
        <w:rPr>
          <w:rFonts w:ascii="Calibri" w:hAnsi="Calibri" w:eastAsia="微软雅黑"/>
          <w:b w:val="0"/>
          <w:i w:val="0"/>
          <w:color w:val="000000"/>
          <w:sz w:val="22"/>
        </w:rPr>
        <w:t>3 业务与数据流</w:t>
      </w:r>
    </w:p>
    <w:p>
      <w:pPr>
        <w:spacing w:after="20" w:line="252" w:lineRule="auto"/>
      </w:pPr>
      <w:r>
        <w:t>4 部署和扩展设计    5 本轮设计增量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1 总体架构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应用为单个 Android 安装包，使用 Kotlin 与 Jetpack Compose 提供界面，通过领域接口访问 Room 仓库。本地 SQLite 保存记录，Android Keystore 管理字段加密密钥。当前没有独立运行的业务后端或真实学校平台服务。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4104"/>
        <w:gridCol w:w="4248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层次</w:t>
            </w:r>
          </w:p>
        </w:tc>
        <w:tc>
          <w:tcPr>
            <w:tcW w:type="dxa" w:w="41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主要实现</w:t>
            </w:r>
          </w:p>
        </w:tc>
        <w:tc>
          <w:tcPr>
            <w:tcW w:type="dxa" w:w="42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责任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界面层</w:t>
            </w:r>
          </w:p>
        </w:tc>
        <w:tc>
          <w:tcPr>
            <w:tcW w:type="dxa" w:w="41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ui、CareScreens、HealthScreens、TeacherWorkbenchScreen</w:t>
            </w:r>
          </w:p>
        </w:tc>
        <w:tc>
          <w:tcPr>
            <w:tcW w:type="dxa" w:w="42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导航、表单、列表、状态反馈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业务编排</w:t>
            </w:r>
          </w:p>
        </w:tc>
        <w:tc>
          <w:tcPr>
            <w:tcW w:type="dxa" w:w="41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AppCareServices、TeacherWorkbenchService</w:t>
            </w:r>
          </w:p>
        </w:tc>
        <w:tc>
          <w:tcPr>
            <w:tcW w:type="dxa" w:w="42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保存评估、预警、干预、投递串联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领域层</w:t>
            </w:r>
          </w:p>
        </w:tc>
        <w:tc>
          <w:tcPr>
            <w:tcW w:type="dxa" w:w="41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domain/model、domain/port、domain/policy</w:t>
            </w:r>
          </w:p>
        </w:tc>
        <w:tc>
          <w:tcPr>
            <w:tcW w:type="dxa" w:w="42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公共模型、权限、仓库契约与策略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特性层</w:t>
            </w:r>
          </w:p>
        </w:tc>
        <w:tc>
          <w:tcPr>
            <w:tcW w:type="dxa" w:w="41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assessment、health、risk、teacher、followup</w:t>
            </w:r>
          </w:p>
        </w:tc>
        <w:tc>
          <w:tcPr>
            <w:tcW w:type="dxa" w:w="42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评分、信号、规则、工作台与随访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数据与安全</w:t>
            </w:r>
          </w:p>
        </w:tc>
        <w:tc>
          <w:tcPr>
            <w:tcW w:type="dxa" w:w="41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MoodDatabase、Room repositories、AndroidKeystoreCipher</w:t>
            </w:r>
          </w:p>
        </w:tc>
        <w:tc>
          <w:tcPr>
            <w:tcW w:type="dxa" w:w="42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持久化、事务、授权检查、字段加密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外部适配</w:t>
            </w:r>
          </w:p>
        </w:tc>
        <w:tc>
          <w:tcPr>
            <w:tcW w:type="dxa" w:w="41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HealthDataProvider、SchoolPlatformGateway</w:t>
            </w:r>
          </w:p>
        </w:tc>
        <w:tc>
          <w:tcPr>
            <w:tcW w:type="dxa" w:w="42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隔离未来硬件及平台实现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微软雅黑"/>
          <w:b/>
          <w:i w:val="0"/>
          <w:color w:val="000000"/>
          <w:sz w:val="24"/>
        </w:rPr>
        <w:t>结构关系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用户操作 → Compose 页面 → 特性服务或 AppCareServices → 领域端口 → Room 仓库 → SQLite。健康适配器向同步流程提供样本；学校网关接收最小化摘要。UI 不应绕过仓库直接读取敏感表。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AppCareServices 为照护模块装配入口，分别创建学生、教师和系统会话。演示身份固定于 DEMO 数据域；服务内部处理不等同于教师获取原始数据权限。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2 模块职责与依赖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3528"/>
        <w:gridCol w:w="468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模块</w:t>
            </w:r>
          </w:p>
        </w:tc>
        <w:tc>
          <w:tcPr>
            <w:tcW w:type="dxa" w:w="35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输入</w:t>
            </w:r>
          </w:p>
        </w:tc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输出与依赖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基础心情</w:t>
            </w:r>
          </w:p>
        </w:tc>
        <w:tc>
          <w:tcPr>
            <w:tcW w:type="dxa" w:w="35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日期、心情、文字和图片 URI</w:t>
            </w:r>
          </w:p>
        </w:tc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MoodRepository 与日历统计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量表</w:t>
            </w:r>
          </w:p>
        </w:tc>
        <w:tc>
          <w:tcPr>
            <w:tcW w:type="dxa" w:w="35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类型、逐题选择、完成时间</w:t>
            </w:r>
          </w:p>
        </w:tc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已评分记录；提交交给照护编排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健康框架</w:t>
            </w:r>
          </w:p>
        </w:tc>
        <w:tc>
          <w:tcPr>
            <w:tcW w:type="dxa" w:w="35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本人授权、拉取时间窗、授权版本</w:t>
            </w:r>
          </w:p>
        </w:tc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原始样本与有限期辅助信号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风险规则</w:t>
            </w:r>
          </w:p>
        </w:tc>
        <w:tc>
          <w:tcPr>
            <w:tcW w:type="dxa" w:w="35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有效量表、有效辅助信号、规则版本</w:t>
            </w:r>
          </w:p>
        </w:tc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评估结果及可选预警事件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教师工作台</w:t>
            </w:r>
          </w:p>
        </w:tc>
        <w:tc>
          <w:tcPr>
            <w:tcW w:type="dxa" w:w="35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责任范围摘要、确认和处理操作</w:t>
            </w:r>
          </w:p>
        </w:tc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干预状态、最小化处理记录、AA触发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AA随访</w:t>
            </w:r>
          </w:p>
        </w:tc>
        <w:tc>
          <w:tcPr>
            <w:tcW w:type="dxa" w:w="35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活动档案、任务、复测记录、退出申请</w:t>
            </w:r>
          </w:p>
        </w:tc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任务状态、退出审核结果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平台投递</w:t>
            </w:r>
          </w:p>
        </w:tc>
        <w:tc>
          <w:tcPr>
            <w:tcW w:type="dxa" w:w="35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SchoolAlertDto、幂等键</w:t>
            </w:r>
          </w:p>
        </w:tc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DeliveryRecord 模拟回执与重试状态</w:t>
            </w:r>
          </w:p>
        </w:tc>
      </w:tr>
    </w:tbl>
    <w:p>
      <w:pPr>
        <w:spacing w:after="20"/>
      </w:pP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公共接口集中在 domain/port。模块内部可保留特性模型，并通过适配器与公共模型转换，避免 UI 直接依赖硬件 SDK。学校平台和健康源均以接口替换实现；当前接口入口是 Kotlin 契约，不是已上线 HTTP 地址。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000000"/>
          <w:sz w:val="24"/>
        </w:rPr>
        <w:t>依赖原则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评分与风险计算尽量保持确定性以便单元测试。数据库和 Android 密钥访问在边界层完成。风险引擎读取量表摘要与衍生信号，不需要逐题答案密文或整段健康原始序列。教师接口返回专门的摘要对象，减少误传字段。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3 业务与数据流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000000"/>
          <w:sz w:val="24"/>
        </w:rPr>
        <w:t>量表到预警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学生填写完成后，编排层准备演示学生和教师分配记录，保存量表，读取有效时间窗内的已完成自评，提取当前授权生理信号，计算并保存评估。达到预警条件后保存去重事件，准备教师干预记录并创建投递记录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这一串联不是跨所有步骤的单个事务。各步返回 CareResult，保存量表成功后后续失败可能形成部分完成状态；稳定记录标识、事件去重及投递幂等帮助恢复，但仍需对中途失败做更完整的端到端恢复验证。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000000"/>
          <w:sz w:val="24"/>
        </w:rPr>
        <w:t>干预到 AA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教师确认后启动干预。仓库在 Room 事务中更新干预、创建或复用活动 AA 档案及首轮任务，避免只更新干预却未入库。学生完成打卡，复测关联有效量表；教师结束干预时完成教师联系任务，AA继续保留。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000000"/>
          <w:sz w:val="24"/>
        </w:rPr>
        <w:t>退出与状态闭环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学生提交理由并申请退出，系统校验观察期、最近量表、复测证据、到期任务及未解决安全关注。教师批准时再次校验，通过后将档案标记 EXITED 并取消剩余任务；驳回后恢复 TRACKING。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000000"/>
          <w:sz w:val="24"/>
        </w:rPr>
        <w:t>授权撤回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每次授权变更递增版本。同步请求携带授权快照；最终写入处再次检查所有者、数据域、授权范围和版本。撤回期间返回的迟到样本因此不能重新落库。删除操作只作用于当前学生指定范围的历史原始样本。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i w:val="0"/>
          <w:color w:val="000000"/>
          <w:sz w:val="32"/>
        </w:rPr>
        <w:t>4 部署和扩展设计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7920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运行要素</w:t>
            </w:r>
          </w:p>
        </w:tc>
        <w:tc>
          <w:tcPr>
            <w:tcW w:type="dxa" w:w="79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5EBF0"/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/>
                <w:i w:val="0"/>
                <w:color w:val="000000"/>
                <w:sz w:val="20"/>
              </w:rPr>
              <w:t>当前配置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应用</w:t>
            </w:r>
          </w:p>
        </w:tc>
        <w:tc>
          <w:tcPr>
            <w:tcW w:type="dxa" w:w="79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com.example.mdd_calender，单 APK，本地原型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SDK</w:t>
            </w:r>
          </w:p>
        </w:tc>
        <w:tc>
          <w:tcPr>
            <w:tcW w:type="dxa" w:w="79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compileSdk37 / targetSdk37 / minSdk24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构建</w:t>
            </w:r>
          </w:p>
        </w:tc>
        <w:tc>
          <w:tcPr>
            <w:tcW w:type="dxa" w:w="79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Gradle9.3.1，AGP9.1.1，守护进程JDK21，编译工具链JDK11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持久化</w:t>
            </w:r>
          </w:p>
        </w:tc>
        <w:tc>
          <w:tcPr>
            <w:tcW w:type="dxa" w:w="79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Room 数据库 mood_database，版本4，15张表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外部能力</w:t>
            </w:r>
          </w:p>
        </w:tc>
        <w:tc>
          <w:tcPr>
            <w:tcW w:type="dxa" w:w="79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rFonts w:ascii="Calibri" w:hAnsi="Calibri" w:eastAsia="微软雅黑"/>
                <w:b w:val="0"/>
                <w:i w:val="0"/>
                <w:color w:val="000000"/>
                <w:sz w:val="20"/>
              </w:rPr>
              <w:t>模拟健康提供者和模拟学校网关；天气功能另依赖网络与定位设置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微软雅黑"/>
          <w:b/>
          <w:i w:val="0"/>
          <w:color w:val="000000"/>
          <w:sz w:val="24"/>
        </w:rPr>
        <w:t>关键取舍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本地原型降低了部署成本，便于验证交互与状态链路；代价是无法提供跨设备身份、统一服务端时间或可靠后台消息。字段加密使敏感内容在数据库中以密文保存，但筛选所需标识、总分、时间和状态仍存在明文字段。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后续接入真实环境时，应替换演示会话，引入服务端授权与校务责任分配；以真实健康 SDK 实现 HealthDataProvider；以学校协议实现 SchoolPlatformGateway，并补齐后台调度、人工失败处置、密钥恢复与运维策略。这些工作需要独立联调和安全验收。</w:t>
      </w:r>
    </w:p>
    <w:p>
      <w:pPr>
        <w:pStyle w:val="Heading2"/>
      </w:pPr>
      <w:r>
        <w:rPr>
          <w:rFonts w:ascii="Calibri" w:hAnsi="Calibri" w:eastAsia="微软雅黑"/>
          <w:b/>
          <w:i w:val="0"/>
          <w:color w:val="000000"/>
          <w:sz w:val="24"/>
        </w:rPr>
        <w:t>实现与验证依据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源码路径相对于 app/src/main/java/com/example/mdd_calender；README位于仓库根目录。</w:t>
      </w:r>
    </w:p>
    <w:p>
      <w:pPr>
        <w:spacing w:line="252" w:lineRule="auto" w:after="80"/>
      </w:pPr>
      <w:r>
        <w:rPr>
          <w:rFonts w:ascii="Calibri" w:hAnsi="Calibri" w:eastAsia="微软雅黑"/>
          <w:b w:val="0"/>
          <w:i w:val="0"/>
          <w:color w:val="000000"/>
          <w:sz w:val="18"/>
        </w:rPr>
        <w:t>integration/app/AppCareServices.kt</w:t>
        <w:br/>
        <w:t>domain/port/HealthPorts.kt</w:t>
        <w:br/>
        <w:t>domain/port/RiskPorts.kt</w:t>
        <w:br/>
        <w:t>data/MoodDatabase.kt</w:t>
        <w:br/>
        <w:t>security/AuthenticatedCipher.kt</w:t>
      </w:r>
    </w:p>
    <w:p>
      <w:r>
        <w:rPr>
          <w:rFonts w:ascii="Calibri" w:hAnsi="Calibri" w:eastAsia="微软雅黑"/>
          <w:b w:val="0"/>
          <w:i w:val="0"/>
          <w:color w:val="000000"/>
          <w:sz w:val="22"/>
        </w:rPr>
        <w:t>本次同步未改变分层和数据架构。界面层新增统一主题、最大内容宽度和可滚动布局约束；教师退出审核由TeacherWorkbenchRoute统一呈现，不再保留独立切换页面。验证依据：docs/testing/ 下的 2026-09-18-功能测试报告.md、2026-09-18-UI优化验收.md 和 2026-09-19-界面适配与入口整合报告.md。各报告对应当次测试边界；最新代码以 160f96e 为准。</w:t>
      </w:r>
    </w:p>
    <w:p>
      <w:pPr>
        <w:pStyle w:val="Heading1"/>
      </w:pPr>
      <w:r>
        <w:rPr>
          <w:color w:val="000000"/>
        </w:rPr>
        <w:t>5 本轮设计增量</w:t>
      </w:r>
    </w:p>
    <w:p>
      <w:pPr>
        <w:spacing w:after="120"/>
      </w:pPr>
      <w:r>
        <w:t>界面层增加ui analysis包，由纯函数按日期聚合MoodRecord，输出记录天数、主导情绪、折线点、周月摘要、变化提醒和反思问题。AnalysisScreen只负责展示，并从当前学生AssessmentRepository读取量表历史。该结构把可测试的计算规则与Compose绘制分离。</w:t>
      </w:r>
    </w:p>
    <w:p>
      <w:pPr>
        <w:spacing w:after="120"/>
      </w:pPr>
      <w:r>
        <w:t>MoodViewModel新增todayRecords流，首页持续订阅当天记录；日期详情继续使用selectedDateRecords。纪念日更新沿用Room主键替换，并保留原创建时间。AA演示状态只在界面内存中构造，不进入FollowUpRepository。</w:t>
      </w:r>
    </w:p>
    <w:p>
      <w:pPr>
        <w:spacing w:after="120"/>
      </w:pPr>
      <w:r>
        <w:t>本轮不修改数据库版本、表结构和权限模型。量表历史仍从本人仓库读取，教师端不获得答案、日记或原始生理数据。</w:t>
      </w:r>
    </w:p>
    <w:sectPr w:rsidR="00FC693F" w:rsidRPr="0006063C" w:rsidSect="00034616">
      <w:footerReference w:type="default" r:id="rId9"/>
      <w:pgSz w:w="12240" w:h="15840"/>
      <w:pgMar w:top="1008" w:right="1224" w:bottom="936" w:left="1224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b w:val="0"/>
        <w:i w:val="0"/>
        <w:color w:val="000000"/>
        <w:sz w:val="18"/>
      </w:rPr>
      <w:t xml:space="preserve">MC-DOC-02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40"/>
    </w:pPr>
    <w:rPr>
      <w:rFonts w:ascii="Calibri" w:hAnsi="Calibr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8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8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微软雅黑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心情日历概要设计说明书</dc:title>
  <dc:subject>说明应用总体结构、模块职责、数据流、部署边界和关键设计取舍，为模块协作与后续接入提供整体视图。</dc:subject>
  <dc:creator>Mood Calendar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