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详细设计说明书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仓库与功能代码基线 698d6fe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2026年9月22日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模块开发人员、代码审查人员、测试人员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给出照护核心流程的接口、算法、状态、持久化边界和异常处理，并说明基础心情模块与新照护模块的衔接方式。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基础记录和量表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健康授权与同步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风险评估与预警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4 教师干预和AA任务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5 退出审核与平台投递</w:t>
      </w:r>
    </w:p>
    <w:p>
      <w:pPr>
        <w:spacing w:after="20" w:line="252" w:lineRule="auto"/>
      </w:pPr>
      <w:r>
        <w:t>6 错误处理与验证    7 趋势与交互详细设计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基础记录和量表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MoodViewModel 与 MoodRepository 驱动原有心情记录，MoodDao 和 AnniversaryDao 负责数据操作。编辑页面将日期、时间、心情类型、文字及图片 URI 写入 MoodRecord；图片 URI 字符串不是图片二进制备份。照护量表使用独立 care_assessments 表，不从日记推断量表答案。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量表组件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552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实现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QuestionnaireCatalog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题目、回答选项、回忆周期和内容说明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AssessmentDraft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草稿与答题状态处理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AssessmentScoring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缺题检查、总分、症状分段和安全项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AssessmentScreen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分别保留两类答案，显示进度，提交防重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RoomAssessmentRepository</w:t>
            </w:r>
          </w:p>
        </w:tc>
        <w:tc>
          <w:tcPr>
            <w:tcW w:type="dxa" w:w="65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会话和归属校验、答案加密、记录持久化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每题取0、1、2、3分；PHQ-9总分0至27，GAD-7总分0至21。PHQ-9分段为0至4、5至9、10至14、15至19、20至27；GAD-7为0至4、5至9、10至14、15至21。症状分段与风险引擎四档关注等级是不同字段。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未完成任何一题时返回 Incomplete，提交按钮不可用。页面分别保存 PHQ-9 与 GAD-7 草稿，使用稳定 UUID 和完成时间构建记录。提交中或成功后禁用编辑及再次提交；失败向用户显示结果。rememberSaveable 支持页面状态恢复，不等于完整持久化量表草稿列表。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提交接口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AppCareServices.submitAssessmentAndTriggerCare(record) 返回 CareResult&lt;CareChainReceipt&gt;；回执包含 assessmentId、evaluationId、可空 alertId 与可空 delivery。无预警时同样允许量表成功保存。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健康授权与同步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264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接口或方法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契约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ConsentRepository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读取、更新、观察当前学生授权；范围为心率或睡眠。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HealthDataProvider.capability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报告提供者能力，不保证真实硬件已连接。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requestAuthorization / revokeAuthorization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向提供者申请或撤回指定范围。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pull / cancelSync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 HealthPullRequest 拉取或取消学生某授权版本的同步。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StudentHealthRepository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保存、按时间查询、单条查询及范围删除本人原始样本。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PhysiologySignalExtractor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根据样本和授权输出有效期内的派生信号。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当前提供者为 DemoHealthProvider，AppCareServices 默认使用 BALANCED 场景。界面授权打开后由应用协调模拟同步；未接入蓝牙配对、Health Connect 或厂商云账户。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同步检查顺序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先读取可信会话与授权快照，再向适配器请求样本；样本必须绑定学生、数据域、来源、类型、时间、质量及授权版本。仓库最终写入校验当前授权状态和版本；加密原始数值与单位后入库。仅符合授权范围的有效样本用于信号提取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授权撤回使旧版本结果失效；删除历史数据与撤回分开。健康信号失败在量表提交链路中降级为空列表，不阻断自评核心逻辑。原始数据缺失、低质量或过期不应解释为学生状态正常。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主要实现位于 feature/health 的 HealthSyncCoordinator、DomainHealthAdapters、RuleBasedPhysiologySignalExtractor 以及 data/care/PrivateRepositories。主应用编排与特性独立服务均须遵守相同仓库边界。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风险评估与预警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DemonstrationRiskEvaluator.evaluate 接收 studentId、assessments、auxiliarySignals、policyVersion 和 generatedAtEpochMillis。拒绝空学生或空规则版本，忽略其他学生及未来完成的量表。每种类型选最新记录，再保留最近14天内的记录。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184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条件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有效量表总分0至4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LOW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总分5至9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MILD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总分10至14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MODERATE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总分15及以上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两类均缺失或过期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INSUFFICIENT_DATA，数据充分性 INSUFFICIENT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仅一类有效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按该量表分级，数据充分性 PARTIAL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PHQ-9安全项非零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SAFETY_REVIEW_REQUIRED，优先进行安全复核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两类总分不累加，baseConcernLevel 取等级较高者。辅助信号需属于同一学生，质量非 POOR，未过有效期且窗口结束不在未来。信号类型加入 auxiliaryTags；中高关注或存在信号时 dispositionPriority 为 REVIEW，安全项优先级更高。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AlertEventFactory 仅在 MODERATE、HIGH 或存在安全复核标签时创建事件。evaluationId 与事件标识使用稳定摘要，deduplicationKey 结合学生、评估、等级和有序标签；数据库另以该键和数据域建立唯一索引。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规则版本为 demo-risk-1。稳定标识基于输入内容而非单纯执行时间，重复调用不应制造同一事件的重复提醒；规则演进需评估历史记录、有效期变化和重算策略。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教师干预和AA任务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744"/>
        <w:gridCol w:w="4392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操作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前置条件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确认预警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责任教师且待确认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 CONFIRMED；摘要已确认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启动干预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已确认且幂等键有效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 ACTIVE；创建或复用活动AA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学生打卡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本人待完成 CHECK_IN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任务 COMPLETED；完成时间由仓库确定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量表复测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本人已保存完成量表，时间在入库之后且不在未来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保存 relatedAssessmentId 并完成任务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结束干预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教师有权限，处理记录非空</w:t>
            </w:r>
          </w:p>
        </w:tc>
        <w:tc>
          <w:tcPr>
            <w:tcW w:type="dxa" w:w="43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敏感记录加密，干预 CLOSED；AA保留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InterventionRepository.startWithAa(request) 在 Room 事务中执行。每位学生每个数据域最多一个活动 AA 档案，由 activeSlot 唯一索引辅助保障；重复操作应复用原有档案和稳定任务标识。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首轮任务以入库时间为基准：1天后打卡、7天后量表复测、3天后教师联系，用于强化后续关注。本版本主应用尚未完整接入跨周滚动任务生成，不能据此承诺长期自动提醒。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干预状态枚举含 PENDING_CONFIRMATION、CONFIRMED、ACTIVE、PENDING_CLOSURE、CLOSED；主界面主要使用待确认、已确认、进行中和关闭流程，不应把预留状态当作已经提供的独立操作。预警 disposition 与干预 status 分开存储，由服务保持一致。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5 退出审核与平台投递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AA退出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FollowUpRepository.requestExit(reason) 触发退出条件检查。默认观察期为14天，校验已到期任务解决、近期量表低于10分、有效复测关联及不存在未解决安全关注。观察期表示入库经过的时间，不能等同于系统证实连续14天临床稳定。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状态迁移为 TRACKING → EXIT_REVIEW_PENDING → EXITED；驳回返回 TRACKING。reviewExit 在批准时重新校验当前数据，审核记录加密保存；通过后释放活动槽位并取消尚未完成任务。未来任务在申请检查中不应造成永久无法退出。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学校平台契约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5832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SchoolAlertDto字段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eventId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预警事件标识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studentCode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学生代号，不传原始身份详情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concernLevel / minimalReasonTags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关注等级及最少必要原因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occurredAtEpochMillis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事件时间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simulated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明确区分演示投递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SchoolPlatformGateway 提供 deliver、queryReceipt、submitDisposition。当前为 SimulatedSchoolPlatformGateway，不定义可访问的服务器 URL。投递前先保存 outbox 记录，使用稳定幂等键，前台循环约60秒检查到期记录，最多尝试3次。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同进程投递由 Mutex 串行协调。重建服务后可从持久化记录恢复待投递项；应用被杀后的定时投递、真实通知与永久失败人工重试尚不完整。模拟成功只表示模拟网关返回回执，不表示教师设备收到推送。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6 错误处理与验证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领域操作使用 CareResult.Success 或 Failure；失败应保留类型并由 UI 转换为可理解提示。InvalidInput 用于输入或状态不满足要求；权限、冲突、未配置等失败必须避免伪装成空数据或成功。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验证点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实现约束与依据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敏感加密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AES-GCM，绑定记录上下文 AAD；不同记录密文不可交换解密。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隔离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可信角色、归属、教师分配、数据域联合检查。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原子性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启动干预与AA首轮任务由事务保障；全提交链路为多步编排。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幂等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提交标识、预警唯一键、投递唯一键、活动槽位及任务重复处理。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时序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拒绝未来量表、过期信号和旧授权版本迟到写入。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迁移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仅提供显式3到4迁移，无破坏性回退。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已有测试覆盖评分、风险规则、权限、授权撤回竞态、加密上下文、数据库迁移、投递恢复和首轮端到端链路。尚需补齐全链路中途失败恢复、多设备与后台生命周期、连续多周随访及真实平台接入验证。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实现与验证依据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源码路径相对于 app/src/main/java/com/example/mdd_calender；README位于仓库根目录。</w:t>
      </w:r>
    </w:p>
    <w:p>
      <w:pPr>
        <w:spacing w:line="252" w:lineRule="auto" w:after="80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feature/assessment/AssessmentScoring.kt</w:t>
        <w:br/>
        <w:t>feature/risk/RiskEvaluatorImpl.kt</w:t>
        <w:br/>
        <w:t>data/care/WorkRepositories.kt</w:t>
        <w:br/>
        <w:t>domain/policy/AaExitPolicy.kt</w:t>
        <w:br/>
        <w:t>integration/app/AppCareServices.kt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本次同步调整Compose界面实现：天气主题按系统深浅色取值，公共卡片使用Material颜色，日历和设置取消嵌套网格滚动，编辑页使用最小高度并允许整页滚动；教师路由直接装载统一工作台。验证依据：docs/testing/ 下的 2026-09-18-功能测试报告.md、2026-09-18-UI优化验收.md 和 2026-09-19-界面适配与入口整合报告.md。各报告对应当次测试边界；最新代码以 160f96e 为准。</w:t>
      </w:r>
    </w:p>
    <w:p>
      <w:pPr>
        <w:pStyle w:val="Heading1"/>
      </w:pPr>
      <w:r>
        <w:rPr>
          <w:color w:val="000000"/>
        </w:rPr>
        <w:t>7 趋势与交互详细设计</w:t>
      </w:r>
    </w:p>
    <w:p>
      <w:pPr>
        <w:spacing w:after="120"/>
      </w:pPr>
      <w:r>
        <w:t>情绪指数仅用于绘图：惊喜5、开心4、平淡3、难过2、糟糕1。同日多条记录取平均后形成一个点。最近七天少于三天时只提示继续记录；变化提醒要求最近一周和前一周各至少三天数据，平均值差绝对值达到0.8才描述明显回升或回落。规则不分析文本，不产生诊断或预警等级。</w:t>
      </w:r>
    </w:p>
    <w:p>
      <w:pPr>
        <w:spacing w:after="120"/>
      </w:pPr>
      <w:r>
        <w:t>AnalysisScreen在首次进入和生命周期恢复时重新调用listForCurrentStudent，按完成时间倒序展示量表。量表提交成功后显示总分与结果范围，返回分析页即可看到历史。加载失败显示可重试语义，不伪装为空记录。</w:t>
      </w:r>
    </w:p>
    <w:p>
      <w:pPr>
        <w:spacing w:after="120"/>
      </w:pPr>
      <w:r>
        <w:t>纪念日编辑器接收现有记录并预填字段，保存时复用id与createdAt。日期使用LocalDate解析校验。首页todayRecords与Room Flow保持同步；首页摘要和日期复盘只读取当前学生本地记录。AA演示按钮切换本地StudentFollowUpUiState，所有操作均为只读提示。</w:t>
      </w:r>
    </w:p>
    <w:p>
      <w:r>
        <w:br w:type="page"/>
      </w:r>
    </w:p>
    <w:p>
      <w:pPr>
        <w:pStyle w:val="Heading1"/>
      </w:pPr>
      <w:r>
        <w:t>8 深度洞察计算与交互设计</w:t>
      </w:r>
    </w:p>
    <w:p>
      <w:r>
        <w:t>每日情绪指数沿用惊喜5、开心4、平淡3、难过2、糟糕1的映射，同日多条记录取平均。连续记录按已排序且相邻的日期分段，最后一段为最近连续天数，最大分段为最长连续天数。</w:t>
      </w:r>
    </w:p>
    <w:p>
      <w:r>
        <w:t>情绪波动使用每日指数的总体标准差。少于3个记录日显示数据不足；标准差小于0.55显示较平稳，小于1.1显示有波动，其余显示波动较明显。高低点取每日指数最大值和最小值对应日期；常用时段按早晨、午后、晚间和深夜统计。</w:t>
      </w:r>
    </w:p>
    <w:p>
      <w:r>
        <w:t>反思面板只引用日期、记录次数和情绪指数，不传入日记正文。三个固定问题依次引导描述事实、识别即时想法、核对支持与反对证据。所有结论均保持可解释，量表入口承担进一步筛查。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心情日历详细设计说明书</dc:title>
  <dc:subject>给出照护核心流程的接口、算法、状态、持久化边界和异常处理，并说明基础心情模块与新照护模块的衔接方式。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