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概要设计说明书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仓库与功能代码基线 698d6fe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2026年9月22日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架构评审人员、集成人员、开发维护人员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说明应用总体结构、模块职责、数据流、部署边界和关键设计取舍，为模块协作与后续接入提供整体视图。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总体架构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模块职责与依赖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业务与数据流</w:t>
      </w:r>
    </w:p>
    <w:p>
      <w:pPr>
        <w:spacing w:after="20" w:line="252" w:lineRule="auto"/>
      </w:pPr>
      <w:r>
        <w:t>4 部署和扩展设计    5 本轮设计增量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总体架构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应用为单个 Android 安装包，使用 Kotlin 与 Jetpack Compose 提供界面，通过领域接口访问 Room 仓库。本地 SQLite 保存记录，Android Keystore 管理字段加密密钥。当前没有独立运行的业务后端或真实学校平台服务。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04"/>
        <w:gridCol w:w="4248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层次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主要实现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ui、CareScreens、HealthScreens、TeacherWorkbenchScreen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导航、表单、列表、状态反馈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业务编排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AppCareServices、TeacherWorkbenchService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保存评估、预警、干预、投递串联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领域层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domain/model、domain/port、domain/policy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公共模型、权限、仓库契约与策略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特性层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assessment、health、risk、teacher、followup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评分、信号、规则、工作台与随访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数据与安全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MoodDatabase、Room repositories、AndroidKeystoreCipher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持久化、事务、授权检查、字段加密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外部适配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HealthDataProvider、SchoolPlatformGateway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隔离未来硬件及平台实现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结构关系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用户操作 → Compose 页面 → 特性服务或 AppCareServices → 领域端口 → Room 仓库 → SQLite。健康适配器向同步流程提供样本；学校网关接收最小化摘要。UI 不应绕过仓库直接读取敏感表。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 为照护模块装配入口，分别创建学生、教师和系统会话。演示身份固定于 DEMO 数据域；服务内部处理不等同于教师获取原始数据权限。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模块职责与依赖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528"/>
        <w:gridCol w:w="4680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输入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输出与依赖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基础心情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日期、心情、文字和图片 URI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MoodRepository 与日历统计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类型、逐题选择、完成时间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已评分记录；提交交给照护编排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健康框架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本人授权、拉取时间窗、授权版本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原始样本与有限期辅助信号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风险规则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有效量表、有效辅助信号、规则版本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评估结果及可选预警事件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责任范围摘要、确认和处理操作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干预状态、最小化处理记录、AA触发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AA随访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活动档案、任务、复测记录、退出申请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任务状态、退出审核结果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平台投递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SchoolAlertDto、幂等键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DeliveryRecord 模拟回执与重试状态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公共接口集中在 domain/port。模块内部可保留特性模型，并通过适配器与公共模型转换，避免 UI 直接依赖硬件 SDK。学校平台和健康源均以接口替换实现；当前接口入口是 Kotlin 契约，不是已上线 HTTP 地址。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依赖原则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评分与风险计算尽量保持确定性以便单元测试。数据库和 Android 密钥访问在边界层完成。风险引擎读取量表摘要与衍生信号，不需要逐题答案密文或整段健康原始序列。教师接口返回专门的摘要对象，减少误传字段。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业务与数据流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量表到预警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填写完成后，编排层准备演示学生和教师分配记录，保存量表，读取有效时间窗内的已完成自评，提取当前授权生理信号，计算并保存评估。达到预警条件后保存去重事件，准备教师干预记录并创建投递记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这一串联不是跨所有步骤的单个事务。各步返回 CareResult，保存量表成功后后续失败可能形成部分完成状态；稳定记录标识、事件去重及投递幂等帮助恢复，但仍需对中途失败做更完整的端到端恢复验证。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干预到 AA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教师确认后启动干预。仓库在 Room 事务中更新干预、创建或复用活动 AA 档案及首轮任务，避免只更新干预却未入库。学生完成打卡，复测关联有效量表；教师结束干预时完成教师联系任务，AA继续保留。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退出与状态闭环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学生提交理由并申请退出，系统校验观察期、最近量表、复测证据、到期任务及未解决安全关注。教师批准时再次校验，通过后将档案标记 EXITED 并取消剩余任务；驳回后恢复 TRACKING。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授权撤回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每次授权变更递增版本。同步请求携带授权快照；最终写入处再次检查所有者、数据域、授权范围和版本。撤回期间返回的迟到样本因此不能重新落库。删除操作只作用于当前学生指定范围的历史原始样本。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部署和扩展设计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运行要素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当前配置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应用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com.example.mdd_calender，单 APK，本地原型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SDK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compileSdk37 / targetSdk37 / minSdk24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构建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Gradle9.3.1，AGP9.1.1，守护进程JDK21，编译工具链JDK11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 数据库 mood_database，版本4，15张表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外部能力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模拟健康提供者和模拟学校网关；天气功能另依赖网络与定位设置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关键取舍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地原型降低了部署成本，便于验证交互与状态链路；代价是无法提供跨设备身份、统一服务端时间或可靠后台消息。字段加密使敏感内容在数据库中以密文保存，但筛选所需标识、总分、时间和状态仍存在明文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后续接入真实环境时，应替换演示会话，引入服务端授权与校务责任分配；以真实健康 SDK 实现 HealthDataProvider；以学校协议实现 SchoolPlatformGateway，并补齐后台调度、人工失败处置、密钥恢复与运维策略。这些工作需要独立联调和安全验收。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integration/app/AppCareServices.kt</w:t>
        <w:br/>
        <w:t>domain/port/HealthPorts.kt</w:t>
        <w:br/>
        <w:t>domain/port/RiskPorts.kt</w:t>
        <w:br/>
        <w:t>data/MoodDatabase.kt</w:t>
        <w:br/>
        <w:t>security/AuthenticatedCipher.kt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本次同步未改变分层和数据架构。界面层新增统一主题、最大内容宽度和可滚动布局约束；教师退出审核由TeacherWorkbenchRoute统一呈现，不再保留独立切换页面。验证依据：docs/testing/ 下的 2026-09-18-功能测试报告.md、2026-09-18-UI优化验收.md 和 2026-09-19-界面适配与入口整合报告.md。各报告对应当次测试边界；最新代码以 160f96e 为准。</w:t>
      </w:r>
    </w:p>
    <w:p>
      <w:pPr>
        <w:pStyle w:val="Heading1"/>
      </w:pPr>
      <w:r>
        <w:rPr>
          <w:color w:val="000000"/>
        </w:rPr>
        <w:t>5 本轮设计增量</w:t>
      </w:r>
    </w:p>
    <w:p>
      <w:pPr>
        <w:spacing w:after="120"/>
      </w:pPr>
      <w:r>
        <w:t>界面层增加ui analysis包，由纯函数按日期聚合MoodRecord，输出记录天数、主导情绪、折线点、周月摘要、变化提醒和反思问题。AnalysisScreen只负责展示，并从当前学生AssessmentRepository读取量表历史。该结构把可测试的计算规则与Compose绘制分离。</w:t>
      </w:r>
    </w:p>
    <w:p>
      <w:pPr>
        <w:spacing w:after="120"/>
      </w:pPr>
      <w:r>
        <w:t>MoodViewModel新增todayRecords流，首页持续订阅当天记录；日期详情继续使用selectedDateRecords。纪念日更新沿用Room主键替换，并保留原创建时间。AA演示状态只在界面内存中构造，不进入FollowUpRepository。</w:t>
      </w:r>
    </w:p>
    <w:p>
      <w:pPr>
        <w:spacing w:after="120"/>
      </w:pPr>
      <w:r>
        <w:t>本轮不修改数据库版本、表结构和权限模型。量表历史仍从本人仓库读取，教师端不获得答案、日记或原始生理数据。</w:t>
      </w:r>
    </w:p>
    <w:p>
      <w:r>
        <w:br w:type="page"/>
      </w:r>
    </w:p>
    <w:p>
      <w:pPr>
        <w:pStyle w:val="Heading1"/>
      </w:pPr>
      <w:r>
        <w:t>6 深度洞察架构补充</w:t>
      </w:r>
    </w:p>
    <w:p>
      <w:r>
        <w:t>ui analysis中的MoodInsights负责纯计算：按日期聚合情绪指数，计算连续记录、离散程度、高低点和常用记录时段，并生成不涉及日记正文的反思问题。AnalysisScreen负责三个标签、横滑卡片、底部反思面板和导航回调。</w:t>
      </w:r>
    </w:p>
    <w:p>
      <w:r>
        <w:t>深度洞察通过onDayHistory进入现有日期详情，通过onNewEntry进入现有编辑器，通过onAssessment进入量表模块。该设计复用当前导航与Room数据，不引入新的敏感字段、数据库版本或教师端读取权限。旧关键词疾病推断器已移除。</w:t>
      </w:r>
    </w:p>
    <w:p>
      <w:r>
        <w:br w:type="page"/>
      </w:r>
    </w:p>
    <w:p>
      <w:pPr>
        <w:pStyle w:val="Heading1"/>
      </w:pPr>
      <w:r>
        <w:t>7 双应用外壳与角色路由</w:t>
      </w:r>
    </w:p>
    <w:p>
      <w:r>
        <w:t>根导航以独立入口为起点。landingForRole把已验证的STUDENT映射到学生外壳，把TEACHER映射到教师外壳，拒绝SYSTEM进入交互界面。当前演示入口注入固定身份；正式认证适配器可复用同一映射。</w:t>
      </w:r>
    </w:p>
    <w:p>
      <w:r>
        <w:t>学生外壳由四项底部导航组成，日历详情、编辑器、量表、健康授权和设置通过学生外壳的回调进入。教师外壳只包含TeacherWorkbenchRoute和教师账号页，不复用学生底部导航。退出演示身份返回独立入口，不在日常页面直接切换角色。</w:t>
      </w:r>
    </w:p>
    <w:p>
      <w:r>
        <w:t>数据访问继续由SessionProvider、AccessPolicy和Room仓库共同控制。学生仓库校验本人归属，教师仓库校验ActorRole.TEACHER和责任教师分配，内部管理仓库要求SYSTEM角色；界面可见性不替代这些校验。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MC-DOC-02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心情日历概要设计说明书</dc:title>
  <dc:subject>说明应用总体结构、模块职责、数据流、部署边界和关键设计取舍，为模块协作与后续接入提供整体视图。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