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87D" w:rsidRPr="00717158" w:rsidRDefault="0094653D" w:rsidP="000D2EB1">
      <w:pPr>
        <w:jc w:val="center"/>
        <w:rPr>
          <w:b/>
          <w:sz w:val="28"/>
          <w:szCs w:val="28"/>
        </w:rPr>
      </w:pPr>
      <w:r w:rsidRPr="00717158">
        <w:rPr>
          <w:b/>
          <w:sz w:val="28"/>
          <w:szCs w:val="28"/>
        </w:rPr>
        <w:t>Training Tip</w:t>
      </w:r>
      <w:r w:rsidR="00901CD3" w:rsidRPr="00717158">
        <w:rPr>
          <w:b/>
          <w:sz w:val="28"/>
          <w:szCs w:val="28"/>
        </w:rPr>
        <w:t>:</w:t>
      </w:r>
      <w:r w:rsidR="00717158">
        <w:rPr>
          <w:b/>
          <w:sz w:val="28"/>
          <w:szCs w:val="28"/>
        </w:rPr>
        <w:t xml:space="preserve">  </w:t>
      </w:r>
      <w:r w:rsidR="000D2EB1" w:rsidRPr="00717158">
        <w:rPr>
          <w:b/>
          <w:sz w:val="28"/>
          <w:szCs w:val="28"/>
        </w:rPr>
        <w:t>Overview</w:t>
      </w:r>
      <w:r w:rsidR="00901CD3" w:rsidRPr="00717158">
        <w:rPr>
          <w:b/>
          <w:sz w:val="28"/>
          <w:szCs w:val="28"/>
        </w:rPr>
        <w:t xml:space="preserve"> of </w:t>
      </w:r>
      <w:r w:rsidR="00710015" w:rsidRPr="00717158">
        <w:rPr>
          <w:b/>
          <w:sz w:val="28"/>
          <w:szCs w:val="28"/>
        </w:rPr>
        <w:t>Trial Team Toolkit</w:t>
      </w:r>
    </w:p>
    <w:p w:rsidR="00901CD3" w:rsidRPr="00717158" w:rsidRDefault="002B2CB0" w:rsidP="000D2EB1">
      <w:pPr>
        <w:jc w:val="center"/>
        <w:rPr>
          <w:b/>
          <w:sz w:val="28"/>
          <w:szCs w:val="28"/>
        </w:rPr>
      </w:pPr>
      <w:proofErr w:type="gramStart"/>
      <w:r w:rsidRPr="00717158">
        <w:rPr>
          <w:b/>
          <w:sz w:val="28"/>
          <w:szCs w:val="28"/>
        </w:rPr>
        <w:t>a</w:t>
      </w:r>
      <w:r w:rsidR="00901CD3" w:rsidRPr="00717158">
        <w:rPr>
          <w:b/>
          <w:sz w:val="28"/>
          <w:szCs w:val="28"/>
        </w:rPr>
        <w:t>nd</w:t>
      </w:r>
      <w:proofErr w:type="gramEnd"/>
    </w:p>
    <w:p w:rsidR="00901CD3" w:rsidRPr="00717158" w:rsidRDefault="00901CD3" w:rsidP="000D2EB1">
      <w:pPr>
        <w:jc w:val="center"/>
        <w:rPr>
          <w:b/>
          <w:sz w:val="28"/>
          <w:szCs w:val="28"/>
        </w:rPr>
      </w:pPr>
      <w:r w:rsidRPr="00717158">
        <w:rPr>
          <w:b/>
          <w:sz w:val="28"/>
          <w:szCs w:val="28"/>
        </w:rPr>
        <w:t>How to Use It</w:t>
      </w:r>
    </w:p>
    <w:p w:rsidR="00710015" w:rsidRDefault="00710015"/>
    <w:p w:rsidR="0094653D" w:rsidRDefault="009F79A5">
      <w:r>
        <w:rPr>
          <w:b/>
        </w:rPr>
        <w:t>Goal</w:t>
      </w:r>
      <w:r w:rsidR="0094653D" w:rsidRPr="008E7BDC">
        <w:rPr>
          <w:b/>
        </w:rPr>
        <w:t>:</w:t>
      </w:r>
      <w:r w:rsidR="0065740A">
        <w:t xml:space="preserve">  Provide a flexible, consolidated organization tool to increase confidence</w:t>
      </w:r>
      <w:r w:rsidR="008E7BDC">
        <w:t xml:space="preserve"> and</w:t>
      </w:r>
      <w:r w:rsidR="0065740A">
        <w:t xml:space="preserve"> efficiency</w:t>
      </w:r>
      <w:r w:rsidR="008E7BDC">
        <w:t xml:space="preserve"> </w:t>
      </w:r>
      <w:r w:rsidR="0065740A">
        <w:t>in trial preparation</w:t>
      </w:r>
    </w:p>
    <w:p w:rsidR="0065740A" w:rsidRDefault="0065740A"/>
    <w:p w:rsidR="009850F3" w:rsidRPr="009850F3" w:rsidRDefault="009850F3" w:rsidP="008E7BDC">
      <w:r>
        <w:rPr>
          <w:b/>
        </w:rPr>
        <w:t>Provide:</w:t>
      </w:r>
      <w:r>
        <w:t xml:space="preserve">  </w:t>
      </w:r>
      <w:r w:rsidR="00CD57D2">
        <w:t>T</w:t>
      </w:r>
      <w:r w:rsidR="00243CEF">
        <w:t>he</w:t>
      </w:r>
      <w:r>
        <w:t xml:space="preserve"> Toolkit </w:t>
      </w:r>
      <w:r w:rsidR="0057523E">
        <w:t>is offered to</w:t>
      </w:r>
      <w:r w:rsidR="005B7FD6">
        <w:t xml:space="preserve"> </w:t>
      </w:r>
      <w:r w:rsidR="0057523E">
        <w:t>aide</w:t>
      </w:r>
      <w:r w:rsidR="00243CEF">
        <w:t xml:space="preserve"> litigators</w:t>
      </w:r>
      <w:r w:rsidR="005B7FD6">
        <w:t xml:space="preserve"> wh</w:t>
      </w:r>
      <w:r w:rsidR="00B838B8">
        <w:t>o are shaping trial preparation, organization, and administration skills</w:t>
      </w:r>
    </w:p>
    <w:p w:rsidR="009850F3" w:rsidRDefault="009850F3" w:rsidP="008E7BDC">
      <w:pPr>
        <w:rPr>
          <w:b/>
        </w:rPr>
      </w:pPr>
    </w:p>
    <w:p w:rsidR="008E7BDC" w:rsidRDefault="008E7BDC" w:rsidP="008E7BDC">
      <w:r w:rsidRPr="008E7BDC">
        <w:rPr>
          <w:b/>
        </w:rPr>
        <w:t>Flexible:</w:t>
      </w:r>
      <w:r>
        <w:t xml:space="preserve">  As no case or counsel is identical, the basic framework may be adapted</w:t>
      </w:r>
      <w:r w:rsidR="00CD57D2">
        <w:t xml:space="preserve">  </w:t>
      </w:r>
    </w:p>
    <w:p w:rsidR="009F79A5" w:rsidRDefault="009F79A5" w:rsidP="008E7BDC"/>
    <w:p w:rsidR="0065740A" w:rsidRDefault="0065740A">
      <w:r w:rsidRPr="008E7BDC">
        <w:rPr>
          <w:b/>
        </w:rPr>
        <w:t>Consolidated:</w:t>
      </w:r>
      <w:r w:rsidR="00243CEF">
        <w:t xml:space="preserve">  The format c</w:t>
      </w:r>
      <w:r>
        <w:t>aptu</w:t>
      </w:r>
      <w:r w:rsidR="0057523E">
        <w:t xml:space="preserve">res the essential </w:t>
      </w:r>
      <w:r>
        <w:t>steps</w:t>
      </w:r>
      <w:r w:rsidR="0057523E">
        <w:t xml:space="preserve"> and documents</w:t>
      </w:r>
      <w:r>
        <w:t xml:space="preserve"> in a court-martial</w:t>
      </w:r>
      <w:r w:rsidR="00243CEF">
        <w:t>.  N</w:t>
      </w:r>
      <w:r w:rsidR="008E7BDC">
        <w:t>othing in</w:t>
      </w:r>
      <w:r w:rsidR="00243CEF">
        <w:t xml:space="preserve"> the Toolkit is new or original; it simply gathers t</w:t>
      </w:r>
      <w:r w:rsidR="0057523E">
        <w:t>he essentials in one location</w:t>
      </w:r>
    </w:p>
    <w:p w:rsidR="0065740A" w:rsidRDefault="0065740A"/>
    <w:p w:rsidR="005B7FD6" w:rsidRDefault="0065740A">
      <w:r w:rsidRPr="008E7BDC">
        <w:rPr>
          <w:b/>
        </w:rPr>
        <w:t>Organization:</w:t>
      </w:r>
      <w:r>
        <w:t xml:space="preserve">  From the outset of a case, set up a physical trial notebook tabbed IAW this </w:t>
      </w:r>
      <w:hyperlink r:id="rId4" w:history="1">
        <w:r w:rsidRPr="009C226D">
          <w:rPr>
            <w:rStyle w:val="Hyperlink"/>
          </w:rPr>
          <w:t>index</w:t>
        </w:r>
      </w:hyperlink>
      <w:r>
        <w:t>.  The index follows the</w:t>
      </w:r>
      <w:r w:rsidR="008E7BDC">
        <w:t xml:space="preserve"> chronological flow of a trial.</w:t>
      </w:r>
      <w:r w:rsidR="00CD57D2">
        <w:t xml:space="preserve">  The Toolkit provides the option to mirror the </w:t>
      </w:r>
      <w:r w:rsidR="00CD57D2" w:rsidRPr="001D6804">
        <w:t>Trial Notebook electronically</w:t>
      </w:r>
      <w:r w:rsidR="00CD57D2">
        <w:t xml:space="preserve"> </w:t>
      </w:r>
    </w:p>
    <w:p w:rsidR="0065740A" w:rsidRPr="005B7FD6" w:rsidRDefault="005B7FD6" w:rsidP="005B7FD6">
      <w:pPr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(</w:t>
      </w:r>
      <w:r w:rsidRPr="005B7FD6">
        <w:rPr>
          <w:i/>
          <w:sz w:val="20"/>
          <w:szCs w:val="20"/>
        </w:rPr>
        <w:t>Note:  Counsel have used a file box, 31-part folder, or accordion folder as their Trial Notebook with this index</w:t>
      </w:r>
      <w:r>
        <w:rPr>
          <w:i/>
          <w:sz w:val="20"/>
          <w:szCs w:val="20"/>
        </w:rPr>
        <w:t>.)</w:t>
      </w:r>
    </w:p>
    <w:p w:rsidR="0065740A" w:rsidRDefault="0065740A"/>
    <w:p w:rsidR="0065740A" w:rsidRDefault="0065740A">
      <w:r w:rsidRPr="008E7BDC">
        <w:rPr>
          <w:b/>
        </w:rPr>
        <w:t>Tool:</w:t>
      </w:r>
      <w:r>
        <w:t xml:space="preserve">  The note</w:t>
      </w:r>
      <w:r w:rsidR="0057523E">
        <w:t>book is intended to serve</w:t>
      </w:r>
      <w:r>
        <w:t xml:space="preserve"> as trial counsel’</w:t>
      </w:r>
      <w:r w:rsidR="00CD57D2">
        <w:t>s primary organization system.  Set up the notebook when Trial Team is assigned.  Use it from the outset of the case</w:t>
      </w:r>
      <w:r w:rsidR="00170CCC">
        <w:t xml:space="preserve"> to maintain </w:t>
      </w:r>
      <w:r w:rsidR="00267C1B">
        <w:t>trial</w:t>
      </w:r>
      <w:r w:rsidR="00170CCC">
        <w:t xml:space="preserve"> documents</w:t>
      </w:r>
    </w:p>
    <w:p w:rsidR="0065740A" w:rsidRDefault="0065740A"/>
    <w:p w:rsidR="0065740A" w:rsidRDefault="008E7BDC">
      <w:r w:rsidRPr="003C3E11">
        <w:rPr>
          <w:b/>
        </w:rPr>
        <w:t>Increase</w:t>
      </w:r>
      <w:r w:rsidR="0065740A" w:rsidRPr="003C3E11">
        <w:rPr>
          <w:b/>
        </w:rPr>
        <w:t xml:space="preserve"> Confidence:</w:t>
      </w:r>
      <w:r w:rsidR="001222E6" w:rsidRPr="003C3E11">
        <w:rPr>
          <w:b/>
        </w:rPr>
        <w:t xml:space="preserve">  </w:t>
      </w:r>
      <w:r w:rsidR="00170CCC">
        <w:t>I</w:t>
      </w:r>
      <w:r w:rsidR="00001102">
        <w:t xml:space="preserve">f </w:t>
      </w:r>
      <w:r w:rsidR="00CD57D2">
        <w:t>counsel</w:t>
      </w:r>
      <w:r w:rsidR="00001102">
        <w:t xml:space="preserve"> </w:t>
      </w:r>
      <w:r w:rsidR="00CD57D2">
        <w:t>ensure that each tab</w:t>
      </w:r>
      <w:r w:rsidR="00170CCC">
        <w:t xml:space="preserve"> in the Toolkit</w:t>
      </w:r>
      <w:r w:rsidR="00CD57D2">
        <w:t xml:space="preserve"> is</w:t>
      </w:r>
      <w:r w:rsidR="00001102">
        <w:t xml:space="preserve"> either populated or intentionally empty, then </w:t>
      </w:r>
      <w:r w:rsidR="00C82BF1">
        <w:t>they are</w:t>
      </w:r>
      <w:r w:rsidR="00267C1B">
        <w:t xml:space="preserve"> ready for the courtroom</w:t>
      </w:r>
      <w:r w:rsidR="00001102">
        <w:t xml:space="preserve"> </w:t>
      </w:r>
    </w:p>
    <w:p w:rsidR="0065740A" w:rsidRDefault="0065740A"/>
    <w:p w:rsidR="008E7BDC" w:rsidRDefault="0065740A">
      <w:r w:rsidRPr="00CD57D2">
        <w:rPr>
          <w:b/>
        </w:rPr>
        <w:t>Increase Efficiency:</w:t>
      </w:r>
      <w:r w:rsidR="003C3E11">
        <w:t xml:space="preserve">  </w:t>
      </w:r>
      <w:r w:rsidR="00CD57D2">
        <w:t>The sys</w:t>
      </w:r>
      <w:r w:rsidR="00170CCC">
        <w:t xml:space="preserve">tem </w:t>
      </w:r>
      <w:r w:rsidR="00A75E99">
        <w:t xml:space="preserve">follows </w:t>
      </w:r>
      <w:r w:rsidR="00170CCC">
        <w:t xml:space="preserve">the flow of a case, so </w:t>
      </w:r>
      <w:r w:rsidR="00CD57D2">
        <w:t xml:space="preserve">organization </w:t>
      </w:r>
      <w:r w:rsidR="009F79A5">
        <w:t>compl</w:t>
      </w:r>
      <w:r w:rsidR="00A75E99">
        <w:t>e</w:t>
      </w:r>
      <w:r w:rsidR="009F79A5">
        <w:t>ments</w:t>
      </w:r>
      <w:r w:rsidR="00170CCC">
        <w:t xml:space="preserve"> litigation.  </w:t>
      </w:r>
      <w:r w:rsidR="000D2EB1">
        <w:t>Moreover, the Toolkit</w:t>
      </w:r>
      <w:r w:rsidR="00170CCC">
        <w:t xml:space="preserve"> enhance</w:t>
      </w:r>
      <w:r w:rsidR="000D2EB1">
        <w:t>s continuity</w:t>
      </w:r>
      <w:r w:rsidR="00170CCC">
        <w:t xml:space="preserve"> when counsel change.</w:t>
      </w:r>
      <w:r w:rsidR="009C226D">
        <w:t xml:space="preserve">  It also facilitates reviews with </w:t>
      </w:r>
      <w:r w:rsidR="00A75E99">
        <w:t xml:space="preserve">the </w:t>
      </w:r>
      <w:r w:rsidR="009C226D">
        <w:t>SJA</w:t>
      </w:r>
      <w:r w:rsidR="00A75E99">
        <w:t xml:space="preserve"> and STC</w:t>
      </w:r>
    </w:p>
    <w:p w:rsidR="009F79A5" w:rsidRDefault="009F79A5"/>
    <w:p w:rsidR="00717158" w:rsidRDefault="00717158" w:rsidP="00717158">
      <w:r>
        <w:t>…From here, proceed to the first training tip (How to Use the Toolkit), located below</w:t>
      </w:r>
    </w:p>
    <w:p w:rsidR="009F79A5" w:rsidRDefault="009F79A5"/>
    <w:p w:rsidR="0094653D" w:rsidRDefault="00170CCC">
      <w:r w:rsidRPr="00267C1B">
        <w:rPr>
          <w:i/>
        </w:rPr>
        <w:t>Note:</w:t>
      </w:r>
      <w:r>
        <w:t xml:space="preserve">  </w:t>
      </w:r>
      <w:r w:rsidR="00243CEF">
        <w:t xml:space="preserve">While the </w:t>
      </w:r>
      <w:r>
        <w:t>T</w:t>
      </w:r>
      <w:r w:rsidR="00243CEF">
        <w:t>oolkit facilitates advocacy and execution via organization, it is not designed to train specific advocacy skills</w:t>
      </w:r>
      <w:r w:rsidR="00717158">
        <w:t xml:space="preserve">.  </w:t>
      </w:r>
      <w:hyperlink r:id="rId5" w:history="1">
        <w:r w:rsidR="00717158" w:rsidRPr="00717158">
          <w:rPr>
            <w:rStyle w:val="Hyperlink"/>
          </w:rPr>
          <w:t>JAJG’s site</w:t>
        </w:r>
      </w:hyperlink>
      <w:r w:rsidR="001F2ADF">
        <w:t xml:space="preserve"> is a good reference for advocacy training.</w:t>
      </w:r>
    </w:p>
    <w:p w:rsidR="009C226D" w:rsidRDefault="009C226D"/>
    <w:p w:rsidR="009C226D" w:rsidRDefault="0071715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766397</wp:posOffset>
                </wp:positionV>
                <wp:extent cx="1423035" cy="422695"/>
                <wp:effectExtent l="19050" t="19050" r="5715" b="349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035" cy="422695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22404" id="Straight Connector 4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9.1pt,60.35pt" to="281.15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" strokecolor="#4579b8 [3044]" strokeweight="2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BCA81" wp14:editId="4214A1A3">
                <wp:simplePos x="0" y="0"/>
                <wp:positionH relativeFrom="column">
                  <wp:posOffset>3683479</wp:posOffset>
                </wp:positionH>
                <wp:positionV relativeFrom="paragraph">
                  <wp:posOffset>266568</wp:posOffset>
                </wp:positionV>
                <wp:extent cx="2604770" cy="1216025"/>
                <wp:effectExtent l="762000" t="0" r="24130" b="22225"/>
                <wp:wrapNone/>
                <wp:docPr id="2" name="Line Callout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770" cy="12160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9569"/>
                            <a:gd name="adj4" fmla="val -2939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158" w:rsidRDefault="00717158" w:rsidP="00717158">
                            <w:pPr>
                              <w:jc w:val="center"/>
                            </w:pPr>
                            <w:r>
                              <w:t xml:space="preserve">Once you </w:t>
                            </w:r>
                            <w:r w:rsidR="00893B44">
                              <w:t>reach</w:t>
                            </w:r>
                            <w:r>
                              <w:t xml:space="preserve"> to a litigation step</w:t>
                            </w:r>
                            <w:r w:rsidR="00893B44">
                              <w:t>,</w:t>
                            </w:r>
                            <w:r>
                              <w:t xml:space="preserve"> </w:t>
                            </w:r>
                            <w:r w:rsidR="00893B44">
                              <w:t>y</w:t>
                            </w:r>
                            <w:r>
                              <w:t xml:space="preserve">ou may want to start with </w:t>
                            </w:r>
                          </w:p>
                          <w:p w:rsidR="00717158" w:rsidRDefault="00717158" w:rsidP="00717158">
                            <w:pPr>
                              <w:jc w:val="center"/>
                            </w:pPr>
                            <w:r>
                              <w:t xml:space="preserve">“How To” Case Primers </w:t>
                            </w:r>
                          </w:p>
                          <w:p w:rsidR="00717158" w:rsidRDefault="00717158" w:rsidP="00717158">
                            <w:pPr>
                              <w:jc w:val="center"/>
                            </w:pPr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717158" w:rsidRDefault="00717158" w:rsidP="00717158">
                            <w:pPr>
                              <w:jc w:val="center"/>
                            </w:pPr>
                            <w:r>
                              <w:t>STC Training.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BCA81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2" o:spid="_x0000_s1026" type="#_x0000_t47" style="position:absolute;margin-left:290.05pt;margin-top:21pt;width:205.1pt;height:9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" adj="-6348,4227" fillcolor="#4f81bd [3204]" strokecolor="#243f60 [1604]" strokeweight="2pt">
                <v:textbox>
                  <w:txbxContent>
                    <w:p w:rsidR="00717158" w:rsidRDefault="00717158" w:rsidP="00717158">
                      <w:pPr>
                        <w:jc w:val="center"/>
                      </w:pPr>
                      <w:r>
                        <w:t xml:space="preserve">Once you </w:t>
                      </w:r>
                      <w:r w:rsidR="00893B44">
                        <w:t>reach</w:t>
                      </w:r>
                      <w:r>
                        <w:t xml:space="preserve"> to a litigation step</w:t>
                      </w:r>
                      <w:r w:rsidR="00893B44">
                        <w:t>,</w:t>
                      </w:r>
                      <w:r>
                        <w:t xml:space="preserve"> </w:t>
                      </w:r>
                      <w:r w:rsidR="00893B44">
                        <w:t>y</w:t>
                      </w:r>
                      <w:r>
                        <w:t xml:space="preserve">ou may want to start with </w:t>
                      </w:r>
                    </w:p>
                    <w:p w:rsidR="00717158" w:rsidRDefault="00717158" w:rsidP="00717158">
                      <w:pPr>
                        <w:jc w:val="center"/>
                      </w:pPr>
                      <w:r>
                        <w:t xml:space="preserve">“How To” Case Primers </w:t>
                      </w:r>
                    </w:p>
                    <w:p w:rsidR="00717158" w:rsidRDefault="00717158" w:rsidP="00717158">
                      <w:pPr>
                        <w:jc w:val="center"/>
                      </w:pPr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</w:t>
                      </w:r>
                    </w:p>
                    <w:p w:rsidR="00717158" w:rsidRDefault="00717158" w:rsidP="00717158">
                      <w:pPr>
                        <w:jc w:val="center"/>
                      </w:pPr>
                      <w:r>
                        <w:t>STC Training.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EE304A" wp14:editId="5ACB69E6">
            <wp:extent cx="3157268" cy="269213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402" t="25199" r="58781"/>
                    <a:stretch/>
                  </pic:blipFill>
                  <pic:spPr bwMode="auto">
                    <a:xfrm>
                      <a:off x="0" y="0"/>
                      <a:ext cx="3180043" cy="2711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226D" w:rsidRDefault="009C226D"/>
    <w:p w:rsidR="00717158" w:rsidRDefault="00717158" w:rsidP="00825D1F">
      <w:pPr>
        <w:jc w:val="center"/>
        <w:rPr>
          <w:b/>
          <w:sz w:val="32"/>
          <w:szCs w:val="32"/>
        </w:rPr>
      </w:pPr>
    </w:p>
    <w:p w:rsidR="0094653D" w:rsidRPr="00825D1F" w:rsidRDefault="00825D1F" w:rsidP="00825D1F">
      <w:pPr>
        <w:jc w:val="center"/>
        <w:rPr>
          <w:b/>
          <w:sz w:val="32"/>
          <w:szCs w:val="32"/>
        </w:rPr>
      </w:pPr>
      <w:r w:rsidRPr="00825D1F">
        <w:rPr>
          <w:b/>
          <w:sz w:val="32"/>
          <w:szCs w:val="32"/>
        </w:rPr>
        <w:t>Tip:</w:t>
      </w:r>
      <w:r w:rsidR="009C226D" w:rsidRPr="00825D1F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How to Use this Toolkit</w:t>
      </w:r>
    </w:p>
    <w:p w:rsidR="009C226D" w:rsidRDefault="009C226D"/>
    <w:p w:rsidR="0094653D" w:rsidRDefault="0094653D" w:rsidP="0094653D">
      <w:pPr>
        <w:rPr>
          <w:b/>
        </w:rPr>
      </w:pPr>
      <w:r w:rsidRPr="0094653D">
        <w:rPr>
          <w:b/>
        </w:rPr>
        <w:t>First Step</w:t>
      </w:r>
      <w:r>
        <w:rPr>
          <w:b/>
        </w:rPr>
        <w:t>s:</w:t>
      </w:r>
      <w:r w:rsidRPr="0094653D">
        <w:rPr>
          <w:b/>
        </w:rPr>
        <w:t xml:space="preserve">  (Follow </w:t>
      </w:r>
      <w:r w:rsidR="00D07AB3">
        <w:rPr>
          <w:b/>
        </w:rPr>
        <w:t xml:space="preserve">this </w:t>
      </w:r>
      <w:r w:rsidR="00901CD3">
        <w:rPr>
          <w:b/>
        </w:rPr>
        <w:t>section</w:t>
      </w:r>
      <w:r w:rsidRPr="0094653D">
        <w:rPr>
          <w:b/>
        </w:rPr>
        <w:t xml:space="preserve"> </w:t>
      </w:r>
      <w:r w:rsidR="00D07AB3">
        <w:rPr>
          <w:b/>
          <w:u w:val="single"/>
        </w:rPr>
        <w:t>exactly</w:t>
      </w:r>
      <w:r w:rsidRPr="0094653D">
        <w:rPr>
          <w:b/>
        </w:rPr>
        <w:t>)</w:t>
      </w:r>
    </w:p>
    <w:p w:rsidR="00D07AB3" w:rsidRPr="0094653D" w:rsidRDefault="00D07AB3" w:rsidP="0094653D">
      <w:pPr>
        <w:rPr>
          <w:b/>
        </w:rPr>
      </w:pPr>
    </w:p>
    <w:p w:rsidR="0094653D" w:rsidRDefault="00D07AB3">
      <w:r>
        <w:t xml:space="preserve"> - </w:t>
      </w:r>
      <w:r w:rsidR="0094653D">
        <w:t>Copy and paste “Trial Team Toolkit” folder with subfolders to your computer</w:t>
      </w:r>
      <w:r>
        <w:t xml:space="preserve"> or share drive</w:t>
      </w:r>
    </w:p>
    <w:p w:rsidR="00D07AB3" w:rsidRDefault="00D07AB3"/>
    <w:p w:rsidR="0094653D" w:rsidRDefault="00D07AB3">
      <w:r>
        <w:t xml:space="preserve">- </w:t>
      </w:r>
      <w:r w:rsidR="0094653D">
        <w:t xml:space="preserve">Rename “Trial Team Toolkit” to “Trial Notebook--US v. ###”  </w:t>
      </w:r>
    </w:p>
    <w:p w:rsidR="0094653D" w:rsidRDefault="0094653D"/>
    <w:p w:rsidR="0094653D" w:rsidRDefault="00D07AB3">
      <w:r>
        <w:t xml:space="preserve">- </w:t>
      </w:r>
      <w:r w:rsidR="00DC4398">
        <w:t xml:space="preserve">Open </w:t>
      </w:r>
      <w:proofErr w:type="gramStart"/>
      <w:r w:rsidR="00DC4398">
        <w:t xml:space="preserve">the </w:t>
      </w:r>
      <w:r>
        <w:t xml:space="preserve"> </w:t>
      </w:r>
      <w:proofErr w:type="gramEnd"/>
      <w:r w:rsidR="001D6804">
        <w:fldChar w:fldCharType="begin"/>
      </w:r>
      <w:r w:rsidR="001D6804">
        <w:instrText xml:space="preserve"> HYPERLINK "Trial%20Notebook%20Index%20to%20Print.doc" </w:instrText>
      </w:r>
      <w:r w:rsidR="001D6804">
        <w:fldChar w:fldCharType="separate"/>
      </w:r>
      <w:r w:rsidR="0094653D" w:rsidRPr="00D07AB3">
        <w:rPr>
          <w:rStyle w:val="Hyperlink"/>
        </w:rPr>
        <w:t>Index</w:t>
      </w:r>
      <w:r w:rsidR="001D6804">
        <w:rPr>
          <w:rStyle w:val="Hyperlink"/>
        </w:rPr>
        <w:fldChar w:fldCharType="end"/>
      </w:r>
      <w:r w:rsidR="0094653D">
        <w:t xml:space="preserve"> </w:t>
      </w:r>
      <w:r w:rsidR="00DC4398">
        <w:t xml:space="preserve">and label it </w:t>
      </w:r>
      <w:r>
        <w:t>as US v. ###, save and print it, then</w:t>
      </w:r>
      <w:r w:rsidR="0094653D">
        <w:t xml:space="preserve"> </w:t>
      </w:r>
      <w:r>
        <w:t>a</w:t>
      </w:r>
      <w:r w:rsidR="0094653D">
        <w:t xml:space="preserve">ttach </w:t>
      </w:r>
      <w:r>
        <w:t xml:space="preserve">it </w:t>
      </w:r>
      <w:r w:rsidR="0094653D">
        <w:t xml:space="preserve">to </w:t>
      </w:r>
      <w:r>
        <w:t>your p</w:t>
      </w:r>
      <w:r w:rsidR="0094653D">
        <w:t>hysical Trial Notebook</w:t>
      </w:r>
    </w:p>
    <w:p w:rsidR="00D07AB3" w:rsidRDefault="00D07AB3"/>
    <w:p w:rsidR="0094653D" w:rsidRDefault="00D07AB3">
      <w:r>
        <w:t xml:space="preserve">- </w:t>
      </w:r>
      <w:r w:rsidR="00536515">
        <w:t>Set u</w:t>
      </w:r>
      <w:r w:rsidR="0094653D">
        <w:t xml:space="preserve">p </w:t>
      </w:r>
      <w:r w:rsidR="002F2A95">
        <w:t xml:space="preserve">a tabbed </w:t>
      </w:r>
      <w:r w:rsidR="0094653D">
        <w:t xml:space="preserve">Trial Notebook </w:t>
      </w:r>
      <w:r>
        <w:t>immediately</w:t>
      </w:r>
      <w:r w:rsidR="0094653D">
        <w:t xml:space="preserve"> and use it for organization</w:t>
      </w:r>
    </w:p>
    <w:p w:rsidR="0094653D" w:rsidRDefault="0094653D">
      <w:r>
        <w:tab/>
        <w:t>(Forms</w:t>
      </w:r>
      <w:r w:rsidR="00D07AB3">
        <w:t xml:space="preserve"> include:  Accordion folder, </w:t>
      </w:r>
      <w:r w:rsidR="002F2A95">
        <w:t>b</w:t>
      </w:r>
      <w:r w:rsidR="00D07AB3">
        <w:t>lue 31-part b</w:t>
      </w:r>
      <w:r>
        <w:t xml:space="preserve">inder, </w:t>
      </w:r>
      <w:r w:rsidR="00D07AB3">
        <w:t>f</w:t>
      </w:r>
      <w:r>
        <w:t xml:space="preserve">ile </w:t>
      </w:r>
      <w:r w:rsidR="00D07AB3">
        <w:t>b</w:t>
      </w:r>
      <w:r>
        <w:t>ox</w:t>
      </w:r>
      <w:r w:rsidR="00D07AB3">
        <w:t xml:space="preserve"> w/ labeled folders</w:t>
      </w:r>
      <w:r>
        <w:t>)</w:t>
      </w:r>
    </w:p>
    <w:p w:rsidR="00D07AB3" w:rsidRDefault="00D07AB3"/>
    <w:p w:rsidR="0094653D" w:rsidRDefault="00D07AB3">
      <w:r>
        <w:t xml:space="preserve">- </w:t>
      </w:r>
      <w:r w:rsidR="0094653D">
        <w:t xml:space="preserve">Populate as you </w:t>
      </w:r>
      <w:r w:rsidR="00536515">
        <w:t>g</w:t>
      </w:r>
      <w:r w:rsidR="0094653D">
        <w:t>o--this serves as your case organizer</w:t>
      </w:r>
      <w:r w:rsidR="00901CD3">
        <w:t>; use it for all of your trial documents</w:t>
      </w:r>
    </w:p>
    <w:p w:rsidR="0094653D" w:rsidRDefault="0094653D"/>
    <w:p w:rsidR="0094653D" w:rsidRDefault="0094653D">
      <w:pPr>
        <w:rPr>
          <w:b/>
        </w:rPr>
      </w:pPr>
      <w:r w:rsidRPr="00D07AB3">
        <w:rPr>
          <w:b/>
        </w:rPr>
        <w:t>Training Tips</w:t>
      </w:r>
      <w:r w:rsidR="00D07AB3">
        <w:rPr>
          <w:b/>
        </w:rPr>
        <w:t>:</w:t>
      </w:r>
      <w:r w:rsidRPr="00D07AB3">
        <w:rPr>
          <w:b/>
        </w:rPr>
        <w:t xml:space="preserve"> </w:t>
      </w:r>
    </w:p>
    <w:p w:rsidR="00D07AB3" w:rsidRPr="00D07AB3" w:rsidRDefault="00D07AB3">
      <w:pPr>
        <w:rPr>
          <w:b/>
        </w:rPr>
      </w:pPr>
    </w:p>
    <w:p w:rsidR="00D07AB3" w:rsidRDefault="00D07AB3" w:rsidP="00D07AB3">
      <w:r>
        <w:t xml:space="preserve">- </w:t>
      </w:r>
      <w:r w:rsidR="00901CD3">
        <w:t>“</w:t>
      </w:r>
      <w:r>
        <w:t>Tips</w:t>
      </w:r>
      <w:r w:rsidR="00901CD3">
        <w:t>”</w:t>
      </w:r>
      <w:r>
        <w:t xml:space="preserve"> </w:t>
      </w:r>
      <w:r w:rsidR="00901CD3">
        <w:t xml:space="preserve">found in word documents in the Toolkit </w:t>
      </w:r>
      <w:r>
        <w:t>are</w:t>
      </w:r>
      <w:r w:rsidR="0057523E">
        <w:t xml:space="preserve"> designed to give a </w:t>
      </w:r>
      <w:r>
        <w:t>practical overview on a particular aspect of the Toolkit</w:t>
      </w:r>
      <w:r w:rsidR="00645AC6">
        <w:t xml:space="preserve"> in</w:t>
      </w:r>
      <w:r w:rsidR="0057523E">
        <w:t xml:space="preserve"> </w:t>
      </w:r>
      <w:r w:rsidR="00645AC6">
        <w:t xml:space="preserve">one to five minutes </w:t>
      </w:r>
    </w:p>
    <w:p w:rsidR="00D07AB3" w:rsidRDefault="00D07AB3" w:rsidP="00D07AB3"/>
    <w:p w:rsidR="00D07AB3" w:rsidRDefault="00D07AB3" w:rsidP="00D07AB3">
      <w:r>
        <w:t>- If a folder has a word document labeled “Tip…</w:t>
      </w:r>
      <w:proofErr w:type="gramStart"/>
      <w:r>
        <w:t>”,</w:t>
      </w:r>
      <w:proofErr w:type="gramEnd"/>
      <w:r>
        <w:t xml:space="preserve"> give it a quick read when you begi</w:t>
      </w:r>
      <w:r w:rsidR="00901CD3">
        <w:t>n working that aspect of a case</w:t>
      </w:r>
      <w:r>
        <w:t xml:space="preserve"> </w:t>
      </w:r>
    </w:p>
    <w:p w:rsidR="00D07AB3" w:rsidRDefault="00D07AB3" w:rsidP="00D07AB3"/>
    <w:p w:rsidR="00D07AB3" w:rsidRDefault="00D07AB3" w:rsidP="00D07AB3">
      <w:r>
        <w:t xml:space="preserve">- Documents </w:t>
      </w:r>
      <w:r w:rsidR="00901CD3">
        <w:t>in the folders 1 through 31which</w:t>
      </w:r>
      <w:r>
        <w:t xml:space="preserve"> are not contained in sub-folders are typically required for your case or case preparation.  These documents </w:t>
      </w:r>
      <w:r w:rsidR="002F2A95">
        <w:t>are</w:t>
      </w:r>
      <w:r>
        <w:t xml:space="preserve"> in sample form, but you’ll likely need such a document for trial  </w:t>
      </w:r>
    </w:p>
    <w:p w:rsidR="00D07AB3" w:rsidRDefault="00D07AB3" w:rsidP="00D07AB3"/>
    <w:p w:rsidR="00D07AB3" w:rsidRDefault="00D07AB3" w:rsidP="00D07AB3">
      <w:r>
        <w:t>- Essential sub-folders will be referenced i</w:t>
      </w:r>
      <w:r w:rsidR="00901CD3">
        <w:t>n the “Tip” for that respective folder</w:t>
      </w:r>
      <w:r w:rsidR="00DC4398">
        <w:t xml:space="preserve"> with instructions for </w:t>
      </w:r>
      <w:r>
        <w:t>how to use it.</w:t>
      </w:r>
      <w:r w:rsidR="002F2A95">
        <w:t xml:space="preserve">  If no tip exists, then the </w:t>
      </w:r>
      <w:r w:rsidR="006F301E">
        <w:t>application should be intuitive</w:t>
      </w:r>
    </w:p>
    <w:p w:rsidR="00D07AB3" w:rsidRDefault="00D07AB3" w:rsidP="00D07AB3"/>
    <w:p w:rsidR="00D07AB3" w:rsidRDefault="00D07AB3" w:rsidP="00D07AB3">
      <w:r>
        <w:t xml:space="preserve">- </w:t>
      </w:r>
      <w:r w:rsidR="00901CD3">
        <w:t>We recommend placing an</w:t>
      </w:r>
      <w:r>
        <w:t xml:space="preserve">y training materials not essential to </w:t>
      </w:r>
      <w:r w:rsidR="00901CD3">
        <w:t xml:space="preserve">the </w:t>
      </w:r>
      <w:r>
        <w:t xml:space="preserve">trial in </w:t>
      </w:r>
      <w:r w:rsidR="00901CD3">
        <w:t>s</w:t>
      </w:r>
      <w:r>
        <w:t>ub-folders labeled “Training…” or “Ancillary …</w:t>
      </w:r>
      <w:proofErr w:type="gramStart"/>
      <w:r>
        <w:t>”,</w:t>
      </w:r>
      <w:proofErr w:type="gramEnd"/>
      <w:r>
        <w:t xml:space="preserve"> to avoid clut</w:t>
      </w:r>
      <w:r w:rsidR="006F301E">
        <w:t>tering the essential workspace</w:t>
      </w:r>
      <w:r>
        <w:t xml:space="preserve"> </w:t>
      </w:r>
    </w:p>
    <w:p w:rsidR="00D07AB3" w:rsidRDefault="00D07AB3" w:rsidP="00D07AB3"/>
    <w:p w:rsidR="00D07AB3" w:rsidRDefault="00D07AB3" w:rsidP="00D07AB3">
      <w:r>
        <w:t xml:space="preserve">     </w:t>
      </w:r>
      <w:proofErr w:type="gramStart"/>
      <w:r>
        <w:t>--  It</w:t>
      </w:r>
      <w:proofErr w:type="gramEnd"/>
      <w:r>
        <w:t xml:space="preserve"> can be useful to add training materials on a topic, (</w:t>
      </w:r>
      <w:r>
        <w:rPr>
          <w:i/>
        </w:rPr>
        <w:t>e.g.</w:t>
      </w:r>
      <w:r>
        <w:t xml:space="preserve">, how to do an opening, or sample </w:t>
      </w:r>
      <w:proofErr w:type="spellStart"/>
      <w:r>
        <w:t>voir</w:t>
      </w:r>
      <w:proofErr w:type="spellEnd"/>
      <w:r>
        <w:t xml:space="preserve"> dire questions), and the electronic notebook facilitates t</w:t>
      </w:r>
      <w:r w:rsidR="006F301E">
        <w:t>raining additions</w:t>
      </w:r>
    </w:p>
    <w:p w:rsidR="00D07AB3" w:rsidRDefault="00D07AB3" w:rsidP="00D07AB3"/>
    <w:p w:rsidR="00D07AB3" w:rsidRPr="00B838B8" w:rsidRDefault="00D07AB3" w:rsidP="00D07AB3">
      <w:r>
        <w:t xml:space="preserve">     </w:t>
      </w:r>
      <w:proofErr w:type="gramStart"/>
      <w:r>
        <w:t>--  However</w:t>
      </w:r>
      <w:proofErr w:type="gramEnd"/>
      <w:r>
        <w:t xml:space="preserve">, training or ancillary materials should be clearly identified and organized </w:t>
      </w:r>
      <w:r w:rsidR="0052067E">
        <w:t xml:space="preserve">in a training sub-folder </w:t>
      </w:r>
      <w:r>
        <w:t>apart from t</w:t>
      </w:r>
      <w:r w:rsidR="006F301E">
        <w:t>he documents produced for trial</w:t>
      </w:r>
    </w:p>
    <w:p w:rsidR="00710015" w:rsidRDefault="00710015" w:rsidP="00710015">
      <w:bookmarkStart w:id="0" w:name="_GoBack"/>
      <w:bookmarkEnd w:id="0"/>
    </w:p>
    <w:p w:rsidR="0094653D" w:rsidRDefault="004B7062">
      <w:r>
        <w:t xml:space="preserve">- </w:t>
      </w:r>
      <w:r w:rsidR="00710015">
        <w:t xml:space="preserve">The sample </w:t>
      </w:r>
      <w:hyperlink r:id="rId7" w:history="1">
        <w:r w:rsidR="00710015" w:rsidRPr="00863979">
          <w:rPr>
            <w:rStyle w:val="Hyperlink"/>
          </w:rPr>
          <w:t>Trial Plan</w:t>
        </w:r>
      </w:hyperlink>
      <w:r w:rsidR="00710015">
        <w:t xml:space="preserve"> is </w:t>
      </w:r>
      <w:r w:rsidR="002F2A95">
        <w:t>hyper</w:t>
      </w:r>
      <w:r w:rsidR="00710015">
        <w:t xml:space="preserve">linked </w:t>
      </w:r>
      <w:r w:rsidR="006F301E">
        <w:t>to</w:t>
      </w:r>
      <w:r w:rsidR="00863979">
        <w:t xml:space="preserve"> corresponding</w:t>
      </w:r>
      <w:r w:rsidR="006F301E">
        <w:t xml:space="preserve"> locations within the Toolkit</w:t>
      </w:r>
    </w:p>
    <w:p w:rsidR="004B7062" w:rsidRDefault="004B7062"/>
    <w:p w:rsidR="004B7062" w:rsidRDefault="004B7062">
      <w:r>
        <w:t xml:space="preserve">- The </w:t>
      </w:r>
      <w:hyperlink r:id="rId8" w:history="1">
        <w:r w:rsidRPr="004B7062">
          <w:rPr>
            <w:rStyle w:val="Hyperlink"/>
          </w:rPr>
          <w:t>List of Documents</w:t>
        </w:r>
      </w:hyperlink>
      <w:r>
        <w:t xml:space="preserve"> by Tab is also linked to orient and navigate through the Toolkit</w:t>
      </w:r>
    </w:p>
    <w:sectPr w:rsidR="004B7062" w:rsidSect="00717158">
      <w:pgSz w:w="12240" w:h="15840"/>
      <w:pgMar w:top="720" w:right="1296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53D"/>
    <w:rsid w:val="00001102"/>
    <w:rsid w:val="000558AB"/>
    <w:rsid w:val="000B1BB8"/>
    <w:rsid w:val="000D2EB1"/>
    <w:rsid w:val="001222E6"/>
    <w:rsid w:val="00170CCC"/>
    <w:rsid w:val="0018187D"/>
    <w:rsid w:val="001D1A12"/>
    <w:rsid w:val="001D6804"/>
    <w:rsid w:val="001F2ADF"/>
    <w:rsid w:val="00243CEF"/>
    <w:rsid w:val="00250999"/>
    <w:rsid w:val="00267C1B"/>
    <w:rsid w:val="002B2CB0"/>
    <w:rsid w:val="002F2A95"/>
    <w:rsid w:val="003C3E11"/>
    <w:rsid w:val="00455F2D"/>
    <w:rsid w:val="004B7062"/>
    <w:rsid w:val="0052067E"/>
    <w:rsid w:val="00536515"/>
    <w:rsid w:val="0057523E"/>
    <w:rsid w:val="005B7FD6"/>
    <w:rsid w:val="00606526"/>
    <w:rsid w:val="0062246F"/>
    <w:rsid w:val="00645AC6"/>
    <w:rsid w:val="00656073"/>
    <w:rsid w:val="0065740A"/>
    <w:rsid w:val="006A5B3C"/>
    <w:rsid w:val="006F301E"/>
    <w:rsid w:val="00710015"/>
    <w:rsid w:val="00717158"/>
    <w:rsid w:val="00825D1F"/>
    <w:rsid w:val="00863979"/>
    <w:rsid w:val="00893A1C"/>
    <w:rsid w:val="00893B44"/>
    <w:rsid w:val="008E7BDC"/>
    <w:rsid w:val="00901CD3"/>
    <w:rsid w:val="00902AD3"/>
    <w:rsid w:val="0094653D"/>
    <w:rsid w:val="00971A5E"/>
    <w:rsid w:val="009850F3"/>
    <w:rsid w:val="009C226D"/>
    <w:rsid w:val="009F79A5"/>
    <w:rsid w:val="00A05A95"/>
    <w:rsid w:val="00A75E99"/>
    <w:rsid w:val="00B838B8"/>
    <w:rsid w:val="00BC0910"/>
    <w:rsid w:val="00C82BF1"/>
    <w:rsid w:val="00CD57D2"/>
    <w:rsid w:val="00D07AB3"/>
    <w:rsid w:val="00DB3E10"/>
    <w:rsid w:val="00DC0556"/>
    <w:rsid w:val="00DC4398"/>
    <w:rsid w:val="00E118DE"/>
    <w:rsid w:val="00ED620D"/>
    <w:rsid w:val="00F17BEE"/>
    <w:rsid w:val="00F6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990FBB-C663-463F-8DD8-BA96013A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2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226D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75E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5E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5E99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5E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5E99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E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E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st%20and%20Links%20of%20Documents%20in%20Toolkit%20by%20Tab.do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../1.%20%20Trial%20Checklist,%20Trial%20Plan%20and%20Scheduling%20Order/Trial%20Plan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s3.eis.af.mil/sites/afjagc/AFLOA/JAJ/JAJG/field/Pages/Home.aspx" TargetMode="External"/><Relationship Id="rId10" Type="http://schemas.openxmlformats.org/officeDocument/2006/relationships/theme" Target="theme/theme1.xml"/><Relationship Id="rId4" Type="http://schemas.openxmlformats.org/officeDocument/2006/relationships/hyperlink" Target="Trial%20Notebook%20Index%20to%20Print.do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TULLOS, OWEN W Lt Col USAF ACC 49 WG/JA</dc:creator>
  <cp:lastModifiedBy>TULLOS, OWEN W Col USAF AFSPC 14 AF/JA</cp:lastModifiedBy>
  <cp:revision>6</cp:revision>
  <cp:lastPrinted>2015-09-10T20:30:00Z</cp:lastPrinted>
  <dcterms:created xsi:type="dcterms:W3CDTF">2015-10-05T19:27:00Z</dcterms:created>
  <dcterms:modified xsi:type="dcterms:W3CDTF">2017-01-11T20:12:00Z</dcterms:modified>
</cp:coreProperties>
</file>