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87D" w:rsidRPr="00E95B6D" w:rsidRDefault="00942275" w:rsidP="00E95B6D">
      <w:pPr>
        <w:jc w:val="center"/>
        <w:rPr>
          <w:b/>
          <w:sz w:val="32"/>
          <w:szCs w:val="32"/>
        </w:rPr>
      </w:pPr>
      <w:r w:rsidRPr="00E95B6D">
        <w:rPr>
          <w:b/>
          <w:sz w:val="32"/>
          <w:szCs w:val="32"/>
        </w:rPr>
        <w:t xml:space="preserve">Tip:  Tab </w:t>
      </w:r>
      <w:r w:rsidR="00496F14">
        <w:rPr>
          <w:b/>
          <w:sz w:val="32"/>
          <w:szCs w:val="32"/>
        </w:rPr>
        <w:t>2</w:t>
      </w:r>
      <w:r w:rsidR="00FE0DCD">
        <w:rPr>
          <w:b/>
          <w:sz w:val="32"/>
          <w:szCs w:val="32"/>
        </w:rPr>
        <w:t>3</w:t>
      </w:r>
      <w:r w:rsidR="00B944BB">
        <w:rPr>
          <w:b/>
          <w:sz w:val="32"/>
          <w:szCs w:val="32"/>
        </w:rPr>
        <w:t>--</w:t>
      </w:r>
      <w:r w:rsidR="00F96F26">
        <w:rPr>
          <w:b/>
          <w:sz w:val="32"/>
          <w:szCs w:val="32"/>
        </w:rPr>
        <w:t xml:space="preserve"> Getting Started on </w:t>
      </w:r>
      <w:r w:rsidR="00496F14">
        <w:rPr>
          <w:b/>
          <w:sz w:val="32"/>
          <w:szCs w:val="32"/>
        </w:rPr>
        <w:t xml:space="preserve">Government Sentencing </w:t>
      </w:r>
      <w:r w:rsidR="00FE0DCD">
        <w:rPr>
          <w:b/>
          <w:sz w:val="32"/>
          <w:szCs w:val="32"/>
        </w:rPr>
        <w:t>Witnesses</w:t>
      </w:r>
    </w:p>
    <w:p w:rsidR="0087072A" w:rsidRDefault="0087072A"/>
    <w:p w:rsidR="0087072A" w:rsidRDefault="0087072A"/>
    <w:p w:rsidR="005159EC" w:rsidRDefault="005159EC">
      <w:r>
        <w:t xml:space="preserve">- Approach </w:t>
      </w:r>
      <w:r w:rsidR="00AA292F">
        <w:t xml:space="preserve">organizing your </w:t>
      </w:r>
      <w:r>
        <w:t xml:space="preserve">sentencing </w:t>
      </w:r>
      <w:r w:rsidR="00F96F26">
        <w:t xml:space="preserve">case </w:t>
      </w:r>
      <w:r>
        <w:t>as you approach</w:t>
      </w:r>
      <w:r w:rsidR="00E008E7">
        <w:t>ed</w:t>
      </w:r>
      <w:r>
        <w:t xml:space="preserve"> findings:  know your case; know the impact of the crimes; ask for murder boards early</w:t>
      </w:r>
    </w:p>
    <w:p w:rsidR="005159EC" w:rsidRDefault="005159EC"/>
    <w:p w:rsidR="005159EC" w:rsidRDefault="005159EC">
      <w:r>
        <w:t>- The findings phase determines the crimes from which you get a punishment range; sentencing is about focusing the members</w:t>
      </w:r>
      <w:r w:rsidR="00613EC3">
        <w:t xml:space="preserve"> or judge</w:t>
      </w:r>
      <w:r>
        <w:t xml:space="preserve"> on the most appropriate punishment within that range</w:t>
      </w:r>
    </w:p>
    <w:p w:rsidR="00E51A29" w:rsidRDefault="00E51A29"/>
    <w:p w:rsidR="003F6ACF" w:rsidRDefault="003F6ACF">
      <w:r>
        <w:t>- Sentencing witnesses testify to assist the court in arriving at a just sentence</w:t>
      </w:r>
      <w:r w:rsidR="00F04D9B">
        <w:t xml:space="preserve"> (see RCM 1001)</w:t>
      </w:r>
    </w:p>
    <w:p w:rsidR="003F6ACF" w:rsidRDefault="003F6ACF"/>
    <w:p w:rsidR="00A24F96" w:rsidRDefault="003F6ACF">
      <w:r>
        <w:tab/>
        <w:t xml:space="preserve">-- Sentencing witnesses focus on matters in aggravation (or </w:t>
      </w:r>
      <w:r w:rsidR="00915B11">
        <w:t xml:space="preserve">extenuation and </w:t>
      </w:r>
      <w:r>
        <w:t>mitigation)</w:t>
      </w:r>
      <w:r w:rsidR="00140C70">
        <w:t xml:space="preserve"> and rehabilitative potential of the accused (see RCM 1001(b)(4 &amp; 5)</w:t>
      </w:r>
    </w:p>
    <w:p w:rsidR="00915B11" w:rsidRDefault="00915B11"/>
    <w:p w:rsidR="009F40E6" w:rsidRDefault="00915B11">
      <w:r>
        <w:tab/>
      </w:r>
      <w:r>
        <w:tab/>
        <w:t>--</w:t>
      </w:r>
      <w:r w:rsidR="008D78BD">
        <w:t>- Evidence in aggravation is not focused on</w:t>
      </w:r>
      <w:r>
        <w:t xml:space="preserve"> whether something happened </w:t>
      </w:r>
      <w:r w:rsidR="008D78BD">
        <w:t>(findings)</w:t>
      </w:r>
      <w:r w:rsidR="00F96F26">
        <w:t>,</w:t>
      </w:r>
      <w:r w:rsidR="008D78BD">
        <w:t xml:space="preserve"> but </w:t>
      </w:r>
      <w:r w:rsidR="00AA292F">
        <w:t xml:space="preserve">is evidence that </w:t>
      </w:r>
      <w:r w:rsidR="008D78BD">
        <w:t>should affect the severity of the sentence</w:t>
      </w:r>
      <w:r w:rsidR="00AA292F">
        <w:t xml:space="preserve"> (see RCM 1001(b)(4))</w:t>
      </w:r>
    </w:p>
    <w:p w:rsidR="009F40E6" w:rsidRDefault="009F40E6"/>
    <w:p w:rsidR="00915B11" w:rsidRDefault="009F40E6" w:rsidP="009F40E6">
      <w:pPr>
        <w:ind w:left="1440" w:firstLine="720"/>
      </w:pPr>
      <w:r>
        <w:t xml:space="preserve">---- Ex., </w:t>
      </w:r>
      <w:r w:rsidR="00915B11">
        <w:t xml:space="preserve">if a member is convicted of a DUI, an aggravating fact could be that this was the member’s </w:t>
      </w:r>
      <w:r w:rsidR="00F96F26">
        <w:t>second</w:t>
      </w:r>
      <w:r w:rsidR="00915B11">
        <w:t xml:space="preserve"> DUI.  The number of previous DUIs would not arise during findings but becomes relevant in sentencing to show that the member has not</w:t>
      </w:r>
      <w:r w:rsidR="00D36CC1">
        <w:t xml:space="preserve"> learned from the previous DUIs</w:t>
      </w:r>
      <w:r w:rsidR="00AA292F">
        <w:t xml:space="preserve"> and continued to offend</w:t>
      </w:r>
    </w:p>
    <w:p w:rsidR="00492DED" w:rsidRDefault="00492DED" w:rsidP="00492DED"/>
    <w:p w:rsidR="002049B3" w:rsidRDefault="002049B3" w:rsidP="002049B3">
      <w:r>
        <w:t xml:space="preserve">- Prepare </w:t>
      </w:r>
      <w:hyperlink r:id="rId6" w:history="1">
        <w:r w:rsidRPr="002049B3">
          <w:rPr>
            <w:rStyle w:val="Hyperlink"/>
          </w:rPr>
          <w:t>dire</w:t>
        </w:r>
        <w:r w:rsidRPr="002049B3">
          <w:rPr>
            <w:rStyle w:val="Hyperlink"/>
          </w:rPr>
          <w:t>c</w:t>
        </w:r>
        <w:r w:rsidRPr="002049B3">
          <w:rPr>
            <w:rStyle w:val="Hyperlink"/>
          </w:rPr>
          <w:t>ts</w:t>
        </w:r>
      </w:hyperlink>
      <w:r>
        <w:t xml:space="preserve"> as you would for findings</w:t>
      </w:r>
    </w:p>
    <w:p w:rsidR="002049B3" w:rsidRDefault="002049B3" w:rsidP="00492DED"/>
    <w:p w:rsidR="00492DED" w:rsidRDefault="00492DED" w:rsidP="00492DED">
      <w:r>
        <w:t>- The commander and the first sergeant are common government sentencing witnesses</w:t>
      </w:r>
    </w:p>
    <w:p w:rsidR="00492DED" w:rsidRDefault="00492DED" w:rsidP="00492DED"/>
    <w:p w:rsidR="00492DED" w:rsidRDefault="00492DED" w:rsidP="00492DED">
      <w:r>
        <w:tab/>
        <w:t xml:space="preserve">-- They should testify </w:t>
      </w:r>
      <w:r w:rsidR="00D118F7">
        <w:t>about</w:t>
      </w:r>
      <w:r>
        <w:t xml:space="preserve"> how the accused’s crimes impacted the mission/unit</w:t>
      </w:r>
    </w:p>
    <w:p w:rsidR="00492DED" w:rsidRDefault="00492DED" w:rsidP="00492DED"/>
    <w:p w:rsidR="00492DED" w:rsidRDefault="00492DED" w:rsidP="00492DED">
      <w:r>
        <w:tab/>
        <w:t xml:space="preserve">-- They should </w:t>
      </w:r>
      <w:r w:rsidR="00305D76">
        <w:t>be familiar with the accused’s record</w:t>
      </w:r>
      <w:r w:rsidR="000C617B">
        <w:t xml:space="preserve"> and the impact</w:t>
      </w:r>
      <w:r w:rsidR="00305D76">
        <w:t xml:space="preserve"> of his crimes</w:t>
      </w:r>
    </w:p>
    <w:p w:rsidR="00492DED" w:rsidRDefault="00492DED" w:rsidP="00492DED"/>
    <w:p w:rsidR="00492DED" w:rsidRDefault="00492DED" w:rsidP="00492DED">
      <w:pPr>
        <w:ind w:left="720" w:firstLine="720"/>
      </w:pPr>
      <w:r>
        <w:t xml:space="preserve">--- They should not </w:t>
      </w:r>
      <w:r w:rsidR="000C617B">
        <w:t xml:space="preserve">just </w:t>
      </w:r>
      <w:r>
        <w:t>read from the accused’s EPRs</w:t>
      </w:r>
      <w:r w:rsidR="000C617B">
        <w:t xml:space="preserve"> on the stand</w:t>
      </w:r>
    </w:p>
    <w:p w:rsidR="00F6011D" w:rsidRDefault="00F6011D" w:rsidP="00492DED">
      <w:pPr>
        <w:ind w:left="720" w:firstLine="720"/>
      </w:pPr>
    </w:p>
    <w:p w:rsidR="00F6011D" w:rsidRDefault="00F6011D" w:rsidP="00492DED">
      <w:pPr>
        <w:ind w:left="720" w:firstLine="720"/>
      </w:pPr>
      <w:r>
        <w:t>--- They should be familiar with any of the accused’s prior misconduct</w:t>
      </w:r>
    </w:p>
    <w:p w:rsidR="00F96F26" w:rsidRDefault="00F96F26" w:rsidP="00492DED">
      <w:pPr>
        <w:ind w:left="720" w:firstLine="720"/>
      </w:pPr>
    </w:p>
    <w:p w:rsidR="000678F6" w:rsidRDefault="00F96F26" w:rsidP="00F96F26">
      <w:pPr>
        <w:ind w:firstLine="720"/>
      </w:pPr>
      <w:r>
        <w:t>-- Caveat</w:t>
      </w:r>
      <w:r w:rsidR="000678F6">
        <w:t xml:space="preserve">: </w:t>
      </w:r>
      <w:r>
        <w:t xml:space="preserve"> If 1) they are not familiar with the accused; 2) they are not familiar with the impact; or 3) </w:t>
      </w:r>
      <w:r w:rsidR="000678F6">
        <w:t xml:space="preserve">their testimony does not add much strength to the case, then they probably should not testify </w:t>
      </w:r>
    </w:p>
    <w:p w:rsidR="000C617B" w:rsidRDefault="000C617B" w:rsidP="00F04D9B">
      <w:bookmarkStart w:id="0" w:name="_GoBack"/>
      <w:bookmarkEnd w:id="0"/>
    </w:p>
    <w:p w:rsidR="00F04D9B" w:rsidRDefault="00F04D9B" w:rsidP="00F04D9B">
      <w:r>
        <w:t xml:space="preserve">- Victims should testify </w:t>
      </w:r>
      <w:r w:rsidR="002049B3">
        <w:t>about</w:t>
      </w:r>
      <w:r>
        <w:t xml:space="preserve"> how the crimes impacted them, how they suffered</w:t>
      </w:r>
    </w:p>
    <w:p w:rsidR="00F04D9B" w:rsidRDefault="00F04D9B" w:rsidP="00F04D9B"/>
    <w:p w:rsidR="00F04D9B" w:rsidRDefault="00F04D9B" w:rsidP="00F04D9B">
      <w:r>
        <w:t>- Defense witnesses will often testify about the good things the accused has done</w:t>
      </w:r>
    </w:p>
    <w:p w:rsidR="00F04D9B" w:rsidRDefault="00F04D9B" w:rsidP="00F04D9B"/>
    <w:p w:rsidR="00F04D9B" w:rsidRDefault="00F04D9B" w:rsidP="00F04D9B">
      <w:r>
        <w:tab/>
        <w:t xml:space="preserve">-- It </w:t>
      </w:r>
      <w:r w:rsidR="00D118F7">
        <w:t>will likely</w:t>
      </w:r>
      <w:r>
        <w:t xml:space="preserve"> not be necessary to </w:t>
      </w:r>
      <w:hyperlink r:id="rId7" w:history="1">
        <w:r w:rsidRPr="008B0EBF">
          <w:rPr>
            <w:rStyle w:val="Hyperlink"/>
          </w:rPr>
          <w:t>cross-exa</w:t>
        </w:r>
        <w:r w:rsidRPr="008B0EBF">
          <w:rPr>
            <w:rStyle w:val="Hyperlink"/>
          </w:rPr>
          <w:t>m</w:t>
        </w:r>
        <w:r w:rsidRPr="008B0EBF">
          <w:rPr>
            <w:rStyle w:val="Hyperlink"/>
          </w:rPr>
          <w:t>ine</w:t>
        </w:r>
      </w:hyperlink>
      <w:r>
        <w:t xml:space="preserve"> the accused’s parents</w:t>
      </w:r>
      <w:r w:rsidR="00F96F26">
        <w:t xml:space="preserve"> or spouse</w:t>
      </w:r>
    </w:p>
    <w:p w:rsidR="00F04D9B" w:rsidRDefault="00F04D9B" w:rsidP="00F04D9B"/>
    <w:sectPr w:rsidR="00F04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C2FD2"/>
    <w:multiLevelType w:val="hybridMultilevel"/>
    <w:tmpl w:val="F954925A"/>
    <w:lvl w:ilvl="0" w:tplc="6024DB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F96"/>
    <w:rsid w:val="000558AB"/>
    <w:rsid w:val="00066DA4"/>
    <w:rsid w:val="000678F6"/>
    <w:rsid w:val="000C617B"/>
    <w:rsid w:val="000C6BC1"/>
    <w:rsid w:val="00140C70"/>
    <w:rsid w:val="001506A1"/>
    <w:rsid w:val="001624A2"/>
    <w:rsid w:val="0018187D"/>
    <w:rsid w:val="001B0440"/>
    <w:rsid w:val="001C0663"/>
    <w:rsid w:val="001C4E9D"/>
    <w:rsid w:val="001F5953"/>
    <w:rsid w:val="002049B3"/>
    <w:rsid w:val="00222661"/>
    <w:rsid w:val="00254948"/>
    <w:rsid w:val="00264434"/>
    <w:rsid w:val="00265EAF"/>
    <w:rsid w:val="002B0B63"/>
    <w:rsid w:val="00305D76"/>
    <w:rsid w:val="0038792C"/>
    <w:rsid w:val="003F165D"/>
    <w:rsid w:val="003F6ACF"/>
    <w:rsid w:val="00414362"/>
    <w:rsid w:val="00426B1A"/>
    <w:rsid w:val="00455F2D"/>
    <w:rsid w:val="00492DED"/>
    <w:rsid w:val="00496F14"/>
    <w:rsid w:val="004B0D1A"/>
    <w:rsid w:val="004B585A"/>
    <w:rsid w:val="004F1CA2"/>
    <w:rsid w:val="005159EC"/>
    <w:rsid w:val="00516B89"/>
    <w:rsid w:val="0052381B"/>
    <w:rsid w:val="00557AA0"/>
    <w:rsid w:val="005A4018"/>
    <w:rsid w:val="005A7BDE"/>
    <w:rsid w:val="00613EC3"/>
    <w:rsid w:val="006159FF"/>
    <w:rsid w:val="0062246F"/>
    <w:rsid w:val="006B206C"/>
    <w:rsid w:val="006B225B"/>
    <w:rsid w:val="007000BB"/>
    <w:rsid w:val="00701996"/>
    <w:rsid w:val="00710053"/>
    <w:rsid w:val="0073428B"/>
    <w:rsid w:val="007A3EF7"/>
    <w:rsid w:val="00821F41"/>
    <w:rsid w:val="0087072A"/>
    <w:rsid w:val="00870ED4"/>
    <w:rsid w:val="008B0D32"/>
    <w:rsid w:val="008B0EBF"/>
    <w:rsid w:val="008D50F9"/>
    <w:rsid w:val="008D78BD"/>
    <w:rsid w:val="00915B11"/>
    <w:rsid w:val="00942275"/>
    <w:rsid w:val="0094429C"/>
    <w:rsid w:val="0097487E"/>
    <w:rsid w:val="009B6B80"/>
    <w:rsid w:val="009F40E6"/>
    <w:rsid w:val="00A17D48"/>
    <w:rsid w:val="00A22FCC"/>
    <w:rsid w:val="00A24F96"/>
    <w:rsid w:val="00A3761D"/>
    <w:rsid w:val="00A61348"/>
    <w:rsid w:val="00A722E3"/>
    <w:rsid w:val="00AA292F"/>
    <w:rsid w:val="00AC23E8"/>
    <w:rsid w:val="00AF3B0C"/>
    <w:rsid w:val="00B66E82"/>
    <w:rsid w:val="00B74BE7"/>
    <w:rsid w:val="00B8045C"/>
    <w:rsid w:val="00B944BB"/>
    <w:rsid w:val="00BA6A4A"/>
    <w:rsid w:val="00BC430D"/>
    <w:rsid w:val="00BD3DEE"/>
    <w:rsid w:val="00BF060F"/>
    <w:rsid w:val="00C10DE9"/>
    <w:rsid w:val="00C334DD"/>
    <w:rsid w:val="00CB4265"/>
    <w:rsid w:val="00CC5AEB"/>
    <w:rsid w:val="00CE538A"/>
    <w:rsid w:val="00D030A8"/>
    <w:rsid w:val="00D118F7"/>
    <w:rsid w:val="00D36CC1"/>
    <w:rsid w:val="00D653AC"/>
    <w:rsid w:val="00D6678A"/>
    <w:rsid w:val="00D777BF"/>
    <w:rsid w:val="00DE623F"/>
    <w:rsid w:val="00E008E7"/>
    <w:rsid w:val="00E118DE"/>
    <w:rsid w:val="00E26304"/>
    <w:rsid w:val="00E51A29"/>
    <w:rsid w:val="00E5200A"/>
    <w:rsid w:val="00E67867"/>
    <w:rsid w:val="00E75A71"/>
    <w:rsid w:val="00E863B3"/>
    <w:rsid w:val="00E95B6D"/>
    <w:rsid w:val="00EC0FA0"/>
    <w:rsid w:val="00ED5697"/>
    <w:rsid w:val="00F04D9B"/>
    <w:rsid w:val="00F22A6F"/>
    <w:rsid w:val="00F6011D"/>
    <w:rsid w:val="00F63312"/>
    <w:rsid w:val="00F96F26"/>
    <w:rsid w:val="00FE0DCD"/>
    <w:rsid w:val="00FE6C26"/>
    <w:rsid w:val="00F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2D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B6D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225B"/>
    <w:pPr>
      <w:widowControl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225B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2049B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786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2D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B6D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225B"/>
    <w:pPr>
      <w:widowControl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225B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2049B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78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3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../14.%20%20Defense%20Witnesses,%20Cross%20Examination%20&amp;%20Potential%20Objections/Tip%20on%20Cross%20and%20Objections%20Cheat%20Sheet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../10.%20%20Govt%20Witness%20List,%20Order%20of%20Witnesses%20&amp;%20Directs%20with%20Potential%20Objections/Tip%20on%20Drafting%20Direct%20Examination%20and%20Initial%20Witness%20Prep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TULLOS, OWEN W Lt Col USAF ACC 49 WG/JA</dc:creator>
  <cp:lastModifiedBy>TULLOS, OWEN W Lt Col USAF ACC 49 WG/JA</cp:lastModifiedBy>
  <cp:revision>27</cp:revision>
  <dcterms:created xsi:type="dcterms:W3CDTF">2015-10-20T19:14:00Z</dcterms:created>
  <dcterms:modified xsi:type="dcterms:W3CDTF">2015-10-21T13:48:00Z</dcterms:modified>
</cp:coreProperties>
</file>