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B2" w:rsidRPr="00DD2CB2" w:rsidRDefault="00F57560" w:rsidP="00DD2CB2">
      <w:pPr>
        <w:jc w:val="center"/>
        <w:rPr>
          <w:b/>
          <w:sz w:val="32"/>
          <w:szCs w:val="32"/>
        </w:rPr>
      </w:pPr>
      <w:r w:rsidRPr="00660419">
        <w:rPr>
          <w:b/>
          <w:sz w:val="32"/>
          <w:szCs w:val="32"/>
        </w:rPr>
        <w:t>List of Notices</w:t>
      </w:r>
    </w:p>
    <w:p w:rsidR="00DD2CB2" w:rsidRDefault="00DD2CB2"/>
    <w:p w:rsidR="00010FB4" w:rsidRDefault="00DD2CB2">
      <w:r>
        <w:t>- This is a list of the n</w:t>
      </w:r>
      <w:r w:rsidR="00B85FA3">
        <w:t xml:space="preserve">otices – i.e., </w:t>
      </w:r>
      <w:r>
        <w:t>advance warning</w:t>
      </w:r>
      <w:r w:rsidR="00B85FA3">
        <w:t xml:space="preserve"> –</w:t>
      </w:r>
      <w:r w:rsidR="00D4518F">
        <w:t xml:space="preserve"> </w:t>
      </w:r>
      <w:r>
        <w:t>parties ar</w:t>
      </w:r>
      <w:r w:rsidR="00D10A0C">
        <w:t>e required to provide prior to</w:t>
      </w:r>
      <w:r w:rsidR="00D4518F">
        <w:t xml:space="preserve"> trial</w:t>
      </w:r>
    </w:p>
    <w:p w:rsidR="00ED7347" w:rsidRDefault="00ED7347" w:rsidP="00660419"/>
    <w:p w:rsidR="00660419" w:rsidRDefault="00D4518F" w:rsidP="00660419">
      <w:r>
        <w:t xml:space="preserve">- </w:t>
      </w:r>
      <w:r w:rsidR="006D46E3">
        <w:t xml:space="preserve">This is a conglomeration of notice requirements from RCMs, MREs, the Uniform Rules of Practice, </w:t>
      </w:r>
      <w:r>
        <w:t xml:space="preserve">Brady v. Maryland, the </w:t>
      </w:r>
      <w:r w:rsidR="006D46E3">
        <w:t>Jencks</w:t>
      </w:r>
      <w:r>
        <w:t xml:space="preserve"> Act</w:t>
      </w:r>
      <w:r w:rsidR="0018714E">
        <w:t>, and the judge’s scheduling order</w:t>
      </w:r>
      <w:r w:rsidR="0013623A">
        <w:t>.</w:t>
      </w:r>
      <w:r w:rsidR="00660419">
        <w:t xml:space="preserve"> </w:t>
      </w:r>
      <w:r w:rsidR="0013623A">
        <w:t xml:space="preserve"> </w:t>
      </w:r>
      <w:r w:rsidR="00660419">
        <w:t xml:space="preserve">The Government </w:t>
      </w:r>
      <w:r w:rsidR="00797163">
        <w:t xml:space="preserve">and the </w:t>
      </w:r>
      <w:r w:rsidR="00010FB4">
        <w:t>D</w:t>
      </w:r>
      <w:r w:rsidR="00797163">
        <w:t>efense are</w:t>
      </w:r>
      <w:r w:rsidR="00660419">
        <w:t xml:space="preserve"> required to notify the </w:t>
      </w:r>
      <w:r w:rsidR="00797163">
        <w:t xml:space="preserve">parties </w:t>
      </w:r>
      <w:r w:rsidR="00010FB4">
        <w:t xml:space="preserve">of </w:t>
      </w:r>
      <w:r w:rsidR="00660419">
        <w:t>certain informati</w:t>
      </w:r>
      <w:r w:rsidR="00797163">
        <w:t>on</w:t>
      </w:r>
      <w:r w:rsidR="0013623A">
        <w:t>, and f</w:t>
      </w:r>
      <w:r w:rsidR="00797163">
        <w:t>ailure to do so can result in suppression of the evidence at issue.</w:t>
      </w:r>
    </w:p>
    <w:p w:rsidR="00660419" w:rsidRDefault="00660419" w:rsidP="00660419"/>
    <w:p w:rsidR="001037A2" w:rsidRDefault="001037A2" w:rsidP="00660419">
      <w:r>
        <w:t>- The most common notices:</w:t>
      </w:r>
    </w:p>
    <w:p w:rsidR="001037A2" w:rsidRDefault="001037A2" w:rsidP="001037A2">
      <w:pPr>
        <w:pStyle w:val="ListParagraph"/>
        <w:numPr>
          <w:ilvl w:val="0"/>
          <w:numId w:val="7"/>
        </w:numPr>
        <w:ind w:left="810"/>
      </w:pPr>
      <w:r>
        <w:t>(Brady Rule</w:t>
      </w:r>
      <w:r w:rsidR="00E60812">
        <w:t>/RCM 701(a)(6)</w:t>
      </w:r>
      <w:r>
        <w:t>) (list all exculpatory evidence, including acc</w:t>
      </w:r>
      <w:r w:rsidR="0049342F">
        <w:t>’</w:t>
      </w:r>
      <w:r>
        <w:t>s statements)</w:t>
      </w:r>
    </w:p>
    <w:p w:rsidR="001037A2" w:rsidRDefault="001037A2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 xml:space="preserve"> 304 (all statements of the accused)</w:t>
      </w:r>
    </w:p>
    <w:p w:rsidR="001037A2" w:rsidRDefault="001037A2" w:rsidP="001037A2">
      <w:pPr>
        <w:pStyle w:val="ListParagraph"/>
        <w:numPr>
          <w:ilvl w:val="1"/>
          <w:numId w:val="4"/>
        </w:numPr>
        <w:spacing w:line="276" w:lineRule="auto"/>
      </w:pPr>
      <w:r>
        <w:t>(d) (statements not provided prior to arraignment)</w:t>
      </w:r>
    </w:p>
    <w:p w:rsidR="001037A2" w:rsidRDefault="001037A2" w:rsidP="001037A2">
      <w:pPr>
        <w:pStyle w:val="ListParagraph"/>
        <w:numPr>
          <w:ilvl w:val="1"/>
          <w:numId w:val="4"/>
        </w:numPr>
        <w:spacing w:line="276" w:lineRule="auto"/>
      </w:pPr>
      <w:r>
        <w:t>(Jencks Act) (specifically list incriminating statements and their sources)</w:t>
      </w:r>
    </w:p>
    <w:p w:rsidR="001037A2" w:rsidRDefault="001037A2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404(b) (uncharged misconduct)</w:t>
      </w:r>
    </w:p>
    <w:p w:rsidR="001037A2" w:rsidRDefault="001037A2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412 (intent to use evidence of victim’s other sexual behavior or predisposition)</w:t>
      </w:r>
    </w:p>
    <w:p w:rsidR="001037A2" w:rsidRDefault="001037A2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413/414 (similar sexual crimes of the accused against adults/children)</w:t>
      </w:r>
    </w:p>
    <w:p w:rsidR="001037A2" w:rsidRDefault="001037A2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513</w:t>
      </w:r>
      <w:r w:rsidR="00ED7347">
        <w:t>/514</w:t>
      </w:r>
      <w:r>
        <w:t xml:space="preserve"> (intent to use evidence covered by ps</w:t>
      </w:r>
      <w:r w:rsidR="00ED7347">
        <w:t>ychotherapist or victim advocate</w:t>
      </w:r>
      <w:r>
        <w:t xml:space="preserve"> privilege)</w:t>
      </w:r>
    </w:p>
    <w:p w:rsidR="00ED7347" w:rsidRDefault="00ED7347" w:rsidP="001037A2">
      <w:pPr>
        <w:ind w:left="810" w:hanging="360"/>
      </w:pPr>
    </w:p>
    <w:p w:rsidR="00F2056B" w:rsidRDefault="00797163" w:rsidP="00ED7347">
      <w:pPr>
        <w:ind w:left="810" w:hanging="810"/>
      </w:pPr>
      <w:r>
        <w:t>- Military Rules of Evidence</w:t>
      </w:r>
      <w:r w:rsidR="0013623A">
        <w:t xml:space="preserve"> (MRE)</w:t>
      </w:r>
      <w:r>
        <w:t>:</w:t>
      </w:r>
    </w:p>
    <w:p w:rsidR="00010FB4" w:rsidRDefault="00010FB4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201</w:t>
      </w:r>
      <w:r w:rsidR="00EC3C5E">
        <w:t xml:space="preserve"> </w:t>
      </w:r>
      <w:r w:rsidR="00660419">
        <w:t xml:space="preserve">(judicial notice of </w:t>
      </w:r>
      <w:r>
        <w:t>fact)</w:t>
      </w:r>
    </w:p>
    <w:p w:rsidR="00797163" w:rsidRDefault="00010FB4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202 (judicial notice of law)</w:t>
      </w:r>
    </w:p>
    <w:p w:rsidR="00797163" w:rsidRDefault="00660419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301(</w:t>
      </w:r>
      <w:r w:rsidR="00483185">
        <w:t>d</w:t>
      </w:r>
      <w:r>
        <w:t>)(2) (immunized witnesses)</w:t>
      </w:r>
    </w:p>
    <w:p w:rsidR="00797163" w:rsidRDefault="00660419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304(f)</w:t>
      </w:r>
      <w:r w:rsidR="00483185">
        <w:t>(</w:t>
      </w:r>
      <w:r w:rsidR="003E3CF6">
        <w:t>2</w:t>
      </w:r>
      <w:r w:rsidR="00483185">
        <w:t>)</w:t>
      </w:r>
      <w:r>
        <w:t xml:space="preserve"> (</w:t>
      </w:r>
      <w:r w:rsidR="001037A2">
        <w:t>accused’s statements o</w:t>
      </w:r>
      <w:r w:rsidR="003E3CF6">
        <w:t>r derivative evidence not disclosed before arraignment</w:t>
      </w:r>
      <w:r>
        <w:t>)</w:t>
      </w:r>
    </w:p>
    <w:p w:rsidR="003E3CF6" w:rsidRDefault="00EC3C5E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3</w:t>
      </w:r>
      <w:r w:rsidR="00660419">
        <w:t>11(d)</w:t>
      </w:r>
      <w:r w:rsidR="003E3CF6">
        <w:t>(1) (prior to arraignment, must disclose all evidence seized from the accused)</w:t>
      </w:r>
    </w:p>
    <w:p w:rsidR="00797163" w:rsidRDefault="003E3CF6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311(d)</w:t>
      </w:r>
      <w:r w:rsidR="00660419">
        <w:t>(2)(B) (</w:t>
      </w:r>
      <w:r>
        <w:t xml:space="preserve">post-arraignment </w:t>
      </w:r>
      <w:r w:rsidR="00660419">
        <w:t>notice of intent to</w:t>
      </w:r>
      <w:r w:rsidR="00EC3C5E">
        <w:t xml:space="preserve"> </w:t>
      </w:r>
      <w:r w:rsidR="00660419">
        <w:t xml:space="preserve">use undisclosed </w:t>
      </w:r>
      <w:r>
        <w:t xml:space="preserve">property or derivative evidence </w:t>
      </w:r>
      <w:r w:rsidR="00660419">
        <w:t>seized</w:t>
      </w:r>
      <w:r w:rsidR="0018714E">
        <w:t xml:space="preserve"> from the accused</w:t>
      </w:r>
      <w:r w:rsidR="00660419">
        <w:t>)</w:t>
      </w:r>
    </w:p>
    <w:p w:rsidR="00797163" w:rsidRDefault="00660419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321(</w:t>
      </w:r>
      <w:r w:rsidR="007A6739">
        <w:t>d</w:t>
      </w:r>
      <w:r>
        <w:t>)(</w:t>
      </w:r>
      <w:r w:rsidR="007A6739">
        <w:t>1 &amp; 3</w:t>
      </w:r>
      <w:r>
        <w:t>) (notice of intent to</w:t>
      </w:r>
      <w:r w:rsidR="00EC3C5E">
        <w:t xml:space="preserve"> </w:t>
      </w:r>
      <w:r>
        <w:t>use line-up evidence</w:t>
      </w:r>
      <w:r w:rsidR="002529C7">
        <w:t>, pre- and post-</w:t>
      </w:r>
      <w:r w:rsidR="007A6739">
        <w:t>arraignment</w:t>
      </w:r>
      <w:r>
        <w:t>)</w:t>
      </w:r>
    </w:p>
    <w:p w:rsidR="00797163" w:rsidRDefault="00660419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505(h)</w:t>
      </w:r>
      <w:r w:rsidR="00EC3C5E">
        <w:t xml:space="preserve"> </w:t>
      </w:r>
      <w:r>
        <w:t>(intent to disclose classified information)</w:t>
      </w:r>
    </w:p>
    <w:p w:rsidR="00797163" w:rsidRDefault="00660419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506(h) (intent to disclose</w:t>
      </w:r>
      <w:r w:rsidR="00EC3C5E">
        <w:t xml:space="preserve"> </w:t>
      </w:r>
      <w:r>
        <w:t>privilege government information)</w:t>
      </w:r>
    </w:p>
    <w:p w:rsidR="00797163" w:rsidRDefault="00660419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609(b) (intent to</w:t>
      </w:r>
      <w:r w:rsidR="00EC3C5E">
        <w:t xml:space="preserve"> </w:t>
      </w:r>
      <w:r>
        <w:t>impeach wit</w:t>
      </w:r>
      <w:r w:rsidR="00EC3C5E">
        <w:t>h conviction over 10 years old)</w:t>
      </w:r>
    </w:p>
    <w:p w:rsidR="00010FB4" w:rsidRDefault="00797163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613(a) (prior inconsistent statements)</w:t>
      </w:r>
    </w:p>
    <w:p w:rsidR="00CD4815" w:rsidRDefault="00CD4815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902 (self-authenticating evidence</w:t>
      </w:r>
      <w:bookmarkStart w:id="0" w:name="_GoBack"/>
      <w:bookmarkEnd w:id="0"/>
      <w:r>
        <w:t>)</w:t>
      </w:r>
    </w:p>
    <w:p w:rsidR="00010FB4" w:rsidRDefault="00010FB4" w:rsidP="001037A2">
      <w:pPr>
        <w:ind w:left="810" w:hanging="360"/>
      </w:pPr>
    </w:p>
    <w:p w:rsidR="0013623A" w:rsidRDefault="0013623A" w:rsidP="00ED7347">
      <w:pPr>
        <w:ind w:left="810" w:hanging="810"/>
      </w:pPr>
      <w:r>
        <w:t>- Rules for Courts-Martial (RCM)</w:t>
      </w:r>
    </w:p>
    <w:p w:rsidR="00494E44" w:rsidRDefault="00494E44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 xml:space="preserve">701(a)(6) </w:t>
      </w:r>
      <w:r w:rsidRPr="00494E44">
        <w:t>(evidence that tends to negate the guilt of the accused or reduce punishment)</w:t>
      </w:r>
    </w:p>
    <w:p w:rsidR="00BA7220" w:rsidRDefault="00BA7220" w:rsidP="001037A2">
      <w:pPr>
        <w:pStyle w:val="ListParagraph"/>
        <w:numPr>
          <w:ilvl w:val="0"/>
          <w:numId w:val="4"/>
        </w:numPr>
        <w:spacing w:line="276" w:lineRule="auto"/>
        <w:ind w:left="810"/>
      </w:pPr>
      <w:r>
        <w:t>702(e) (notice of intent to depose)</w:t>
      </w:r>
    </w:p>
    <w:p w:rsidR="00C92290" w:rsidRDefault="00C92290" w:rsidP="001037A2">
      <w:pPr>
        <w:ind w:left="810" w:hanging="360"/>
      </w:pPr>
    </w:p>
    <w:p w:rsidR="0013623A" w:rsidRDefault="0013623A" w:rsidP="00ED7347">
      <w:pPr>
        <w:ind w:left="810" w:hanging="810"/>
      </w:pPr>
      <w:r>
        <w:t xml:space="preserve">- </w:t>
      </w:r>
      <w:r w:rsidR="00C92290">
        <w:t>Uniform Rules of Practice</w:t>
      </w:r>
      <w:r>
        <w:t xml:space="preserve"> notifications to the Central Docketing Office and judges:</w:t>
      </w:r>
    </w:p>
    <w:p w:rsidR="00C92290" w:rsidRDefault="00C92290" w:rsidP="001037A2">
      <w:pPr>
        <w:pStyle w:val="ListParagraph"/>
        <w:numPr>
          <w:ilvl w:val="0"/>
          <w:numId w:val="5"/>
        </w:numPr>
        <w:ind w:left="810"/>
      </w:pPr>
      <w:r>
        <w:t>2.2 (</w:t>
      </w:r>
      <w:r w:rsidR="0013623A">
        <w:t>pretrial restraint, referral of charges by GCM or SPCM, Chap 4 or RILO, disposition of charges short of trial, and major modification of charges after referral</w:t>
      </w:r>
      <w:r>
        <w:t>)</w:t>
      </w:r>
    </w:p>
    <w:p w:rsidR="0013623A" w:rsidRDefault="0013623A" w:rsidP="001037A2">
      <w:pPr>
        <w:pStyle w:val="ListParagraph"/>
        <w:numPr>
          <w:ilvl w:val="0"/>
          <w:numId w:val="5"/>
        </w:numPr>
        <w:ind w:left="810"/>
      </w:pPr>
      <w:r>
        <w:t>2.3 (detailing of counsel)</w:t>
      </w:r>
    </w:p>
    <w:p w:rsidR="00ED7347" w:rsidRDefault="0013623A" w:rsidP="00ED7347">
      <w:pPr>
        <w:pStyle w:val="ListParagraph"/>
        <w:numPr>
          <w:ilvl w:val="0"/>
          <w:numId w:val="5"/>
        </w:numPr>
        <w:ind w:left="810"/>
      </w:pPr>
      <w:r>
        <w:t>2.4 (withdrawal by counsel)</w:t>
      </w:r>
    </w:p>
    <w:sectPr w:rsidR="00ED7347" w:rsidSect="00D84F14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6E08"/>
    <w:multiLevelType w:val="hybridMultilevel"/>
    <w:tmpl w:val="F870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6371AA"/>
    <w:multiLevelType w:val="hybridMultilevel"/>
    <w:tmpl w:val="AA6C960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B9839FC"/>
    <w:multiLevelType w:val="hybridMultilevel"/>
    <w:tmpl w:val="7E608B8E"/>
    <w:lvl w:ilvl="0" w:tplc="7C403F0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D3E14"/>
    <w:multiLevelType w:val="hybridMultilevel"/>
    <w:tmpl w:val="7CD4419C"/>
    <w:lvl w:ilvl="0" w:tplc="7C403F02">
      <w:start w:val="1"/>
      <w:numFmt w:val="bullet"/>
      <w:lvlText w:val="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42F50645"/>
    <w:multiLevelType w:val="hybridMultilevel"/>
    <w:tmpl w:val="57524314"/>
    <w:lvl w:ilvl="0" w:tplc="3574F6D2">
      <w:start w:val="40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2427FBE"/>
    <w:multiLevelType w:val="hybridMultilevel"/>
    <w:tmpl w:val="F586A600"/>
    <w:lvl w:ilvl="0" w:tplc="7C403F02">
      <w:start w:val="1"/>
      <w:numFmt w:val="bullet"/>
      <w:lvlText w:val="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52857822"/>
    <w:multiLevelType w:val="hybridMultilevel"/>
    <w:tmpl w:val="F47C03C8"/>
    <w:lvl w:ilvl="0" w:tplc="7C403F02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60"/>
    <w:rsid w:val="00004E65"/>
    <w:rsid w:val="00010FB4"/>
    <w:rsid w:val="000558AB"/>
    <w:rsid w:val="00071185"/>
    <w:rsid w:val="000763E5"/>
    <w:rsid w:val="000B2A85"/>
    <w:rsid w:val="001037A2"/>
    <w:rsid w:val="0013623A"/>
    <w:rsid w:val="0018187D"/>
    <w:rsid w:val="0018714E"/>
    <w:rsid w:val="00187312"/>
    <w:rsid w:val="001E0F1E"/>
    <w:rsid w:val="002529C7"/>
    <w:rsid w:val="003D77FF"/>
    <w:rsid w:val="003E3CF6"/>
    <w:rsid w:val="00417B8D"/>
    <w:rsid w:val="0042543C"/>
    <w:rsid w:val="00455F2D"/>
    <w:rsid w:val="00483185"/>
    <w:rsid w:val="0049342F"/>
    <w:rsid w:val="00494E44"/>
    <w:rsid w:val="005B2C9A"/>
    <w:rsid w:val="00621863"/>
    <w:rsid w:val="0062246F"/>
    <w:rsid w:val="00660419"/>
    <w:rsid w:val="006C6A24"/>
    <w:rsid w:val="006D46E3"/>
    <w:rsid w:val="00722934"/>
    <w:rsid w:val="00797163"/>
    <w:rsid w:val="007A6739"/>
    <w:rsid w:val="00A40C12"/>
    <w:rsid w:val="00AD660F"/>
    <w:rsid w:val="00B85FA3"/>
    <w:rsid w:val="00BA7220"/>
    <w:rsid w:val="00C92290"/>
    <w:rsid w:val="00CD4815"/>
    <w:rsid w:val="00CE6046"/>
    <w:rsid w:val="00D10A0C"/>
    <w:rsid w:val="00D41359"/>
    <w:rsid w:val="00D4518F"/>
    <w:rsid w:val="00D84F14"/>
    <w:rsid w:val="00DD2CB2"/>
    <w:rsid w:val="00E118DE"/>
    <w:rsid w:val="00E60812"/>
    <w:rsid w:val="00EC3C5E"/>
    <w:rsid w:val="00ED7347"/>
    <w:rsid w:val="00F2056B"/>
    <w:rsid w:val="00F3567F"/>
    <w:rsid w:val="00F57560"/>
    <w:rsid w:val="00F63312"/>
    <w:rsid w:val="00FA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3E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3E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3E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3E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6</cp:revision>
  <dcterms:created xsi:type="dcterms:W3CDTF">2015-10-08T15:22:00Z</dcterms:created>
  <dcterms:modified xsi:type="dcterms:W3CDTF">2015-10-20T19:01:00Z</dcterms:modified>
</cp:coreProperties>
</file>