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22" w:type="dxa"/>
        <w:tblLayout w:type="fixed"/>
        <w:tblLook w:val="0000" w:firstRow="0" w:lastRow="0" w:firstColumn="0" w:lastColumn="0" w:noHBand="0" w:noVBand="0"/>
      </w:tblPr>
      <w:tblGrid>
        <w:gridCol w:w="1710"/>
        <w:gridCol w:w="7668"/>
      </w:tblGrid>
      <w:tr w:rsidR="004F49EE" w:rsidRPr="00BC3533" w:rsidTr="001770A7">
        <w:trPr>
          <w:trHeight w:val="1710"/>
        </w:trPr>
        <w:tc>
          <w:tcPr>
            <w:tcW w:w="1710" w:type="dxa"/>
          </w:tcPr>
          <w:p w:rsidR="004F49EE" w:rsidRPr="00BC3533" w:rsidRDefault="004F49EE" w:rsidP="001770A7">
            <w:pPr>
              <w:rPr>
                <w:rFonts w:eastAsia="Calibri"/>
              </w:rPr>
            </w:pPr>
            <w:r>
              <w:rPr>
                <w:rFonts w:eastAsia="Calibri"/>
                <w:noProof/>
              </w:rPr>
              <w:drawing>
                <wp:inline distT="0" distB="0" distL="0" distR="0" wp14:anchorId="073638D0" wp14:editId="462E3C22">
                  <wp:extent cx="970280" cy="100203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0280" cy="1002030"/>
                          </a:xfrm>
                          <a:prstGeom prst="rect">
                            <a:avLst/>
                          </a:prstGeom>
                          <a:noFill/>
                          <a:ln>
                            <a:noFill/>
                          </a:ln>
                        </pic:spPr>
                      </pic:pic>
                    </a:graphicData>
                  </a:graphic>
                </wp:inline>
              </w:drawing>
            </w:r>
          </w:p>
          <w:p w:rsidR="004F49EE" w:rsidRPr="00BC3533" w:rsidRDefault="004F49EE" w:rsidP="001770A7">
            <w:pPr>
              <w:rPr>
                <w:rFonts w:eastAsia="Calibri"/>
              </w:rPr>
            </w:pPr>
          </w:p>
        </w:tc>
        <w:tc>
          <w:tcPr>
            <w:tcW w:w="7668" w:type="dxa"/>
          </w:tcPr>
          <w:p w:rsidR="004F49EE" w:rsidRPr="00BC3533" w:rsidRDefault="004F49EE" w:rsidP="001770A7">
            <w:pPr>
              <w:keepNext/>
              <w:jc w:val="center"/>
              <w:outlineLvl w:val="0"/>
              <w:rPr>
                <w:rFonts w:ascii="Univers" w:hAnsi="Univers"/>
                <w:b/>
                <w:color w:val="0000FF"/>
                <w:szCs w:val="24"/>
              </w:rPr>
            </w:pPr>
            <w:r w:rsidRPr="00BC3533">
              <w:rPr>
                <w:rFonts w:ascii="Univers" w:hAnsi="Univers"/>
                <w:b/>
                <w:color w:val="0000FF"/>
                <w:szCs w:val="24"/>
              </w:rPr>
              <w:t>DEPARTMENT</w:t>
            </w:r>
            <w:smartTag w:uri="urn:schemas-microsoft-com:office:smarttags" w:element="PersonName">
              <w:r w:rsidRPr="00BC3533">
                <w:rPr>
                  <w:rFonts w:ascii="Univers" w:hAnsi="Univers"/>
                  <w:b/>
                  <w:color w:val="0000FF"/>
                  <w:szCs w:val="24"/>
                </w:rPr>
                <w:t xml:space="preserve"> </w:t>
              </w:r>
            </w:smartTag>
            <w:r w:rsidRPr="00BC3533">
              <w:rPr>
                <w:rFonts w:ascii="Univers" w:hAnsi="Univers"/>
                <w:b/>
                <w:color w:val="0000FF"/>
                <w:szCs w:val="24"/>
              </w:rPr>
              <w:t>OF</w:t>
            </w:r>
            <w:smartTag w:uri="urn:schemas-microsoft-com:office:smarttags" w:element="PersonName">
              <w:r w:rsidRPr="00BC3533">
                <w:rPr>
                  <w:rFonts w:ascii="Univers" w:hAnsi="Univers"/>
                  <w:b/>
                  <w:color w:val="0000FF"/>
                  <w:szCs w:val="24"/>
                </w:rPr>
                <w:t xml:space="preserve"> </w:t>
              </w:r>
            </w:smartTag>
            <w:r w:rsidRPr="00BC3533">
              <w:rPr>
                <w:rFonts w:ascii="Univers" w:hAnsi="Univers"/>
                <w:b/>
                <w:color w:val="0000FF"/>
                <w:szCs w:val="24"/>
              </w:rPr>
              <w:t>THE</w:t>
            </w:r>
            <w:smartTag w:uri="urn:schemas-microsoft-com:office:smarttags" w:element="PersonName">
              <w:r w:rsidRPr="00BC3533">
                <w:rPr>
                  <w:rFonts w:ascii="Univers" w:hAnsi="Univers"/>
                  <w:b/>
                  <w:color w:val="0000FF"/>
                  <w:szCs w:val="24"/>
                </w:rPr>
                <w:t xml:space="preserve"> </w:t>
              </w:r>
            </w:smartTag>
            <w:r w:rsidRPr="00BC3533">
              <w:rPr>
                <w:rFonts w:ascii="Univers" w:hAnsi="Univers"/>
                <w:b/>
                <w:color w:val="0000FF"/>
                <w:szCs w:val="24"/>
              </w:rPr>
              <w:t>AIR</w:t>
            </w:r>
            <w:smartTag w:uri="urn:schemas-microsoft-com:office:smarttags" w:element="PersonName">
              <w:r w:rsidRPr="00BC3533">
                <w:rPr>
                  <w:rFonts w:ascii="Univers" w:hAnsi="Univers"/>
                  <w:b/>
                  <w:color w:val="0000FF"/>
                  <w:szCs w:val="24"/>
                </w:rPr>
                <w:t xml:space="preserve"> </w:t>
              </w:r>
            </w:smartTag>
            <w:r w:rsidRPr="00BC3533">
              <w:rPr>
                <w:rFonts w:ascii="Univers" w:hAnsi="Univers"/>
                <w:b/>
                <w:color w:val="0000FF"/>
                <w:szCs w:val="24"/>
              </w:rPr>
              <w:t>FORCE</w:t>
            </w:r>
          </w:p>
          <w:p w:rsidR="004F49EE" w:rsidRPr="00BC3533" w:rsidRDefault="004F49EE" w:rsidP="001770A7">
            <w:pPr>
              <w:keepNext/>
              <w:jc w:val="center"/>
              <w:outlineLvl w:val="0"/>
              <w:rPr>
                <w:b/>
                <w:caps/>
                <w:color w:val="0000FF"/>
                <w:szCs w:val="24"/>
              </w:rPr>
            </w:pPr>
            <w:r w:rsidRPr="00BC3533">
              <w:rPr>
                <w:b/>
                <w:caps/>
                <w:color w:val="0000FF"/>
                <w:szCs w:val="24"/>
              </w:rPr>
              <w:t>[Appropriate header]</w:t>
            </w:r>
          </w:p>
        </w:tc>
      </w:tr>
    </w:tbl>
    <w:p w:rsidR="00185251" w:rsidRDefault="00185251" w:rsidP="00185251">
      <w:pPr>
        <w:jc w:val="right"/>
        <w:rPr>
          <w:szCs w:val="24"/>
        </w:rPr>
      </w:pPr>
      <w:r w:rsidRPr="00185251">
        <w:rPr>
          <w:szCs w:val="24"/>
        </w:rPr>
        <w:t>DATE</w:t>
      </w:r>
    </w:p>
    <w:p w:rsidR="004F49EE" w:rsidRPr="00185251" w:rsidRDefault="004F49EE" w:rsidP="00185251">
      <w:pPr>
        <w:jc w:val="right"/>
        <w:rPr>
          <w:szCs w:val="24"/>
        </w:rPr>
      </w:pPr>
      <w:bookmarkStart w:id="0" w:name="_GoBack"/>
      <w:bookmarkEnd w:id="0"/>
    </w:p>
    <w:p w:rsidR="00185251" w:rsidRPr="00185251" w:rsidRDefault="00185251" w:rsidP="00185251">
      <w:pPr>
        <w:rPr>
          <w:szCs w:val="24"/>
        </w:rPr>
      </w:pPr>
      <w:r w:rsidRPr="00185251">
        <w:rPr>
          <w:szCs w:val="24"/>
        </w:rPr>
        <w:t>MEMORANDUM FOR AFLOA/ADC (</w:t>
      </w:r>
      <w:r w:rsidRPr="00A61540">
        <w:rPr>
          <w:szCs w:val="24"/>
          <w:highlight w:val="yellow"/>
        </w:rPr>
        <w:t>Capt Defense</w:t>
      </w:r>
      <w:r w:rsidRPr="00185251">
        <w:rPr>
          <w:szCs w:val="24"/>
        </w:rPr>
        <w:t xml:space="preserve">) </w:t>
      </w:r>
    </w:p>
    <w:p w:rsidR="00185251" w:rsidRPr="00185251" w:rsidRDefault="00185251" w:rsidP="00185251">
      <w:pPr>
        <w:rPr>
          <w:szCs w:val="24"/>
        </w:rPr>
      </w:pPr>
    </w:p>
    <w:p w:rsidR="00185251" w:rsidRPr="00185251" w:rsidRDefault="00185251" w:rsidP="00185251">
      <w:pPr>
        <w:rPr>
          <w:szCs w:val="24"/>
        </w:rPr>
      </w:pPr>
      <w:r w:rsidRPr="00185251">
        <w:rPr>
          <w:szCs w:val="24"/>
        </w:rPr>
        <w:t>FROM</w:t>
      </w:r>
      <w:r w:rsidRPr="00185251">
        <w:rPr>
          <w:szCs w:val="24"/>
          <w:highlight w:val="yellow"/>
        </w:rPr>
        <w:t>:    /JA</w:t>
      </w:r>
      <w:r w:rsidRPr="00185251">
        <w:rPr>
          <w:szCs w:val="24"/>
        </w:rPr>
        <w:t xml:space="preserve"> (</w:t>
      </w:r>
      <w:r w:rsidRPr="00A61540">
        <w:rPr>
          <w:szCs w:val="24"/>
          <w:highlight w:val="yellow"/>
        </w:rPr>
        <w:t xml:space="preserve">Capt </w:t>
      </w:r>
      <w:r w:rsidR="00A61540" w:rsidRPr="00A61540">
        <w:rPr>
          <w:szCs w:val="24"/>
          <w:highlight w:val="yellow"/>
        </w:rPr>
        <w:t>TC</w:t>
      </w:r>
      <w:r w:rsidRPr="00185251">
        <w:rPr>
          <w:szCs w:val="24"/>
        </w:rPr>
        <w:t xml:space="preserve">) </w:t>
      </w:r>
    </w:p>
    <w:p w:rsidR="00185251" w:rsidRPr="00185251" w:rsidRDefault="00185251" w:rsidP="00185251">
      <w:pPr>
        <w:rPr>
          <w:szCs w:val="24"/>
        </w:rPr>
      </w:pPr>
    </w:p>
    <w:p w:rsidR="00185251" w:rsidRPr="00185251" w:rsidRDefault="00185251" w:rsidP="00185251">
      <w:pPr>
        <w:rPr>
          <w:szCs w:val="24"/>
        </w:rPr>
      </w:pPr>
      <w:r w:rsidRPr="00185251">
        <w:rPr>
          <w:szCs w:val="24"/>
        </w:rPr>
        <w:t xml:space="preserve">SUBJECT: </w:t>
      </w:r>
      <w:r>
        <w:rPr>
          <w:szCs w:val="24"/>
        </w:rPr>
        <w:t xml:space="preserve"> </w:t>
      </w:r>
      <w:r w:rsidRPr="00185251">
        <w:rPr>
          <w:szCs w:val="24"/>
        </w:rPr>
        <w:t xml:space="preserve">United States v. </w:t>
      </w:r>
      <w:r w:rsidRPr="00A61540">
        <w:rPr>
          <w:szCs w:val="24"/>
          <w:highlight w:val="yellow"/>
        </w:rPr>
        <w:t>Accused</w:t>
      </w:r>
      <w:r w:rsidRPr="00185251">
        <w:rPr>
          <w:szCs w:val="24"/>
        </w:rPr>
        <w:t xml:space="preserve"> – M.R.E. 404(b) Notice</w:t>
      </w:r>
    </w:p>
    <w:p w:rsidR="00185251" w:rsidRPr="00185251" w:rsidRDefault="00185251" w:rsidP="00185251">
      <w:pPr>
        <w:rPr>
          <w:szCs w:val="24"/>
        </w:rPr>
      </w:pPr>
    </w:p>
    <w:p w:rsidR="00185251" w:rsidRPr="00185251" w:rsidRDefault="00185251" w:rsidP="00185251">
      <w:pPr>
        <w:rPr>
          <w:szCs w:val="24"/>
        </w:rPr>
      </w:pPr>
      <w:r>
        <w:rPr>
          <w:szCs w:val="24"/>
        </w:rPr>
        <w:t xml:space="preserve">1. </w:t>
      </w:r>
      <w:r w:rsidRPr="00185251">
        <w:rPr>
          <w:szCs w:val="24"/>
        </w:rPr>
        <w:t xml:space="preserve">Pursuant to M.R.E. 404(b) and Uniform Rules of Practice Before Air Force Courts-Martial, the prosecution provides notice of its intent to use uncharged misconduct to show absence of mistake, identity, motive, intent, and/or common scheme/plan in the findings phases of the above styled court-martial. </w:t>
      </w:r>
    </w:p>
    <w:p w:rsidR="00185251" w:rsidRPr="00185251" w:rsidRDefault="00185251" w:rsidP="00185251">
      <w:pPr>
        <w:rPr>
          <w:szCs w:val="24"/>
        </w:rPr>
      </w:pPr>
    </w:p>
    <w:p w:rsidR="00185251" w:rsidRPr="00185251" w:rsidRDefault="00C45236" w:rsidP="00185251">
      <w:pPr>
        <w:ind w:left="720"/>
        <w:rPr>
          <w:szCs w:val="24"/>
        </w:rPr>
      </w:pPr>
      <w:r>
        <w:rPr>
          <w:szCs w:val="24"/>
        </w:rPr>
        <w:t xml:space="preserve">a.  </w:t>
      </w:r>
      <w:r w:rsidR="00185251" w:rsidRPr="00185251">
        <w:rPr>
          <w:szCs w:val="24"/>
        </w:rPr>
        <w:t xml:space="preserve">On or about date, the Accused ____. See </w:t>
      </w:r>
      <w:r w:rsidR="00185251" w:rsidRPr="00F24D46">
        <w:rPr>
          <w:szCs w:val="24"/>
          <w:highlight w:val="yellow"/>
        </w:rPr>
        <w:t>REFER TO EVIDENCE</w:t>
      </w:r>
      <w:r w:rsidR="00185251" w:rsidRPr="00185251">
        <w:rPr>
          <w:szCs w:val="24"/>
        </w:rPr>
        <w:t xml:space="preserve"> (previously provided).  The Government’s theory of admissibility under M.R.E 404 is that such conduct is admissible to show </w:t>
      </w:r>
      <w:r w:rsidR="00185251" w:rsidRPr="00F24D46">
        <w:rPr>
          <w:szCs w:val="24"/>
          <w:highlight w:val="yellow"/>
        </w:rPr>
        <w:t>(i.e., insert theory motive, intent and absence of mistake)</w:t>
      </w:r>
      <w:r w:rsidR="00185251" w:rsidRPr="00185251">
        <w:rPr>
          <w:szCs w:val="24"/>
        </w:rPr>
        <w:t xml:space="preserve"> on the part of the Accused.</w:t>
      </w:r>
    </w:p>
    <w:p w:rsidR="00185251" w:rsidRPr="00185251" w:rsidRDefault="00185251" w:rsidP="00185251">
      <w:pPr>
        <w:ind w:left="720"/>
        <w:rPr>
          <w:szCs w:val="24"/>
        </w:rPr>
      </w:pPr>
    </w:p>
    <w:p w:rsidR="00185251" w:rsidRPr="00185251" w:rsidRDefault="00C45236" w:rsidP="00185251">
      <w:pPr>
        <w:ind w:left="720"/>
        <w:rPr>
          <w:szCs w:val="24"/>
        </w:rPr>
      </w:pPr>
      <w:r>
        <w:rPr>
          <w:szCs w:val="24"/>
        </w:rPr>
        <w:t xml:space="preserve">b.  </w:t>
      </w:r>
      <w:r w:rsidR="00185251" w:rsidRPr="00185251">
        <w:rPr>
          <w:szCs w:val="24"/>
        </w:rPr>
        <w:t xml:space="preserve">On or about date, the Witness _____.  See </w:t>
      </w:r>
      <w:r w:rsidR="00185251" w:rsidRPr="00F24D46">
        <w:rPr>
          <w:szCs w:val="24"/>
          <w:highlight w:val="yellow"/>
        </w:rPr>
        <w:t>REFER TO EVIDENCE</w:t>
      </w:r>
      <w:r w:rsidR="00185251" w:rsidRPr="00185251">
        <w:rPr>
          <w:szCs w:val="24"/>
        </w:rPr>
        <w:t xml:space="preserve"> (previously provided).  The Government’s theory of admissibility under M.R.E 404 is that such conduct is admissible to show </w:t>
      </w:r>
      <w:r w:rsidR="00185251" w:rsidRPr="00F24D46">
        <w:rPr>
          <w:szCs w:val="24"/>
          <w:highlight w:val="yellow"/>
        </w:rPr>
        <w:t>(i.e., insert theory motive, intent and absence of mistake)</w:t>
      </w:r>
      <w:r w:rsidR="00185251" w:rsidRPr="00185251">
        <w:rPr>
          <w:szCs w:val="24"/>
        </w:rPr>
        <w:t xml:space="preserve"> on the part of the witness.</w:t>
      </w:r>
    </w:p>
    <w:p w:rsidR="00185251" w:rsidRDefault="00185251" w:rsidP="00185251">
      <w:pPr>
        <w:ind w:left="720"/>
        <w:rPr>
          <w:szCs w:val="24"/>
        </w:rPr>
      </w:pPr>
    </w:p>
    <w:p w:rsidR="00185251" w:rsidRPr="00185251" w:rsidRDefault="00185251" w:rsidP="00185251">
      <w:pPr>
        <w:ind w:left="720"/>
        <w:rPr>
          <w:szCs w:val="24"/>
        </w:rPr>
      </w:pPr>
      <w:r w:rsidRPr="00185251">
        <w:rPr>
          <w:szCs w:val="24"/>
        </w:rPr>
        <w:t>c.</w:t>
      </w:r>
      <w:r w:rsidRPr="00185251">
        <w:rPr>
          <w:szCs w:val="24"/>
        </w:rPr>
        <w:tab/>
      </w:r>
    </w:p>
    <w:p w:rsidR="00185251" w:rsidRPr="00185251" w:rsidRDefault="00185251" w:rsidP="00185251">
      <w:pPr>
        <w:rPr>
          <w:szCs w:val="24"/>
        </w:rPr>
      </w:pPr>
    </w:p>
    <w:p w:rsidR="00185251" w:rsidRPr="00185251" w:rsidRDefault="00185251" w:rsidP="00185251">
      <w:pPr>
        <w:rPr>
          <w:szCs w:val="24"/>
        </w:rPr>
      </w:pPr>
      <w:r>
        <w:rPr>
          <w:szCs w:val="24"/>
        </w:rPr>
        <w:t xml:space="preserve">2.  </w:t>
      </w:r>
      <w:r w:rsidRPr="00185251">
        <w:rPr>
          <w:szCs w:val="24"/>
        </w:rPr>
        <w:t xml:space="preserve">If the Government becomes aware of any other such evidence, the government will advise the defense as soon as practicable. </w:t>
      </w:r>
    </w:p>
    <w:p w:rsidR="00185251" w:rsidRPr="00185251" w:rsidRDefault="00185251" w:rsidP="00185251">
      <w:pPr>
        <w:rPr>
          <w:szCs w:val="24"/>
        </w:rPr>
      </w:pPr>
    </w:p>
    <w:p w:rsidR="00185251" w:rsidRDefault="00185251" w:rsidP="00185251">
      <w:pPr>
        <w:rPr>
          <w:szCs w:val="24"/>
        </w:rPr>
      </w:pPr>
      <w:r>
        <w:rPr>
          <w:szCs w:val="24"/>
        </w:rPr>
        <w:t xml:space="preserve">3.  </w:t>
      </w:r>
      <w:r w:rsidRPr="00185251">
        <w:rPr>
          <w:szCs w:val="24"/>
        </w:rPr>
        <w:t>To the extent that any statement previously noticed in the Government’s MRE 304(d) notice amounts to uncharged misconduct, the Government hereby formally notifies the Defense of its intent, pursuant to MRE 404(b), to use such statements as direct facts surrounding the events, for purposes other than proving the character of a person in order to show action in conformity therewith.</w:t>
      </w:r>
    </w:p>
    <w:p w:rsidR="00185251" w:rsidRPr="00185251" w:rsidRDefault="00185251" w:rsidP="00185251">
      <w:pPr>
        <w:rPr>
          <w:szCs w:val="24"/>
        </w:rPr>
      </w:pPr>
    </w:p>
    <w:p w:rsidR="00185251" w:rsidRPr="00185251" w:rsidRDefault="00185251" w:rsidP="00185251">
      <w:pPr>
        <w:rPr>
          <w:szCs w:val="24"/>
        </w:rPr>
      </w:pPr>
      <w:r>
        <w:rPr>
          <w:szCs w:val="24"/>
        </w:rPr>
        <w:t xml:space="preserve">4.  </w:t>
      </w:r>
      <w:r w:rsidRPr="00185251">
        <w:rPr>
          <w:szCs w:val="24"/>
        </w:rPr>
        <w:t xml:space="preserve">The Government reserves the right to offer any evidence, including, but not limited to, evidence regarding the matters enumerated above in the pre-sentencing phase of the trial pursuant to R.C.M. 1001. </w:t>
      </w:r>
    </w:p>
    <w:p w:rsidR="00185251" w:rsidRPr="00185251" w:rsidRDefault="00185251" w:rsidP="00185251">
      <w:pPr>
        <w:rPr>
          <w:szCs w:val="24"/>
        </w:rPr>
      </w:pPr>
    </w:p>
    <w:p w:rsidR="00185251" w:rsidRPr="00185251" w:rsidRDefault="00185251" w:rsidP="00185251">
      <w:pPr>
        <w:rPr>
          <w:szCs w:val="24"/>
        </w:rPr>
      </w:pPr>
      <w:r>
        <w:rPr>
          <w:szCs w:val="24"/>
        </w:rPr>
        <w:t xml:space="preserve">5.  </w:t>
      </w:r>
      <w:r w:rsidRPr="00185251">
        <w:rPr>
          <w:szCs w:val="24"/>
        </w:rPr>
        <w:t xml:space="preserve">This notice incorporates all M.R.E. 404(b) statements found within any and all previously discovered evidence and prior notices to include responses to discovery requests.  Please contact </w:t>
      </w:r>
      <w:r w:rsidRPr="00185251">
        <w:rPr>
          <w:szCs w:val="24"/>
        </w:rPr>
        <w:lastRenderedPageBreak/>
        <w:t>me at (</w:t>
      </w:r>
      <w:r w:rsidRPr="00F61DDD">
        <w:rPr>
          <w:szCs w:val="24"/>
          <w:highlight w:val="yellow"/>
        </w:rPr>
        <w:t>contact info)</w:t>
      </w:r>
      <w:r w:rsidRPr="00185251">
        <w:rPr>
          <w:szCs w:val="24"/>
        </w:rPr>
        <w:t xml:space="preserve"> with any questions or if I may be of any assistance to you.</w:t>
      </w:r>
    </w:p>
    <w:p w:rsidR="00185251" w:rsidRPr="00185251" w:rsidRDefault="00185251" w:rsidP="00185251">
      <w:pPr>
        <w:rPr>
          <w:szCs w:val="24"/>
        </w:rPr>
      </w:pPr>
    </w:p>
    <w:p w:rsidR="00185251" w:rsidRPr="00185251" w:rsidRDefault="00185251" w:rsidP="00185251">
      <w:pPr>
        <w:rPr>
          <w:szCs w:val="24"/>
        </w:rPr>
      </w:pPr>
    </w:p>
    <w:p w:rsidR="00185251" w:rsidRPr="00185251" w:rsidRDefault="00185251" w:rsidP="00185251">
      <w:pPr>
        <w:rPr>
          <w:szCs w:val="24"/>
        </w:rPr>
      </w:pPr>
    </w:p>
    <w:p w:rsidR="00185251" w:rsidRPr="00185251" w:rsidRDefault="00185251" w:rsidP="00185251">
      <w:pPr>
        <w:rPr>
          <w:szCs w:val="24"/>
        </w:rPr>
      </w:pPr>
    </w:p>
    <w:p w:rsidR="00185251" w:rsidRPr="00185251" w:rsidRDefault="00185251" w:rsidP="00F24D46">
      <w:pPr>
        <w:ind w:left="5040"/>
        <w:rPr>
          <w:szCs w:val="24"/>
        </w:rPr>
      </w:pPr>
      <w:r w:rsidRPr="00185251">
        <w:rPr>
          <w:szCs w:val="24"/>
        </w:rPr>
        <w:t>NAME, Capt, USAF</w:t>
      </w:r>
    </w:p>
    <w:p w:rsidR="0018187D" w:rsidRPr="00185251" w:rsidRDefault="00185251" w:rsidP="00F24D46">
      <w:pPr>
        <w:ind w:left="5040"/>
        <w:rPr>
          <w:szCs w:val="24"/>
        </w:rPr>
      </w:pPr>
      <w:r w:rsidRPr="00185251">
        <w:rPr>
          <w:szCs w:val="24"/>
        </w:rPr>
        <w:t>Trial Counsel</w:t>
      </w:r>
    </w:p>
    <w:sectPr w:rsidR="0018187D" w:rsidRPr="00185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251"/>
    <w:rsid w:val="000558AB"/>
    <w:rsid w:val="0018187D"/>
    <w:rsid w:val="00185251"/>
    <w:rsid w:val="00455F2D"/>
    <w:rsid w:val="004F49EE"/>
    <w:rsid w:val="0062246F"/>
    <w:rsid w:val="00A61540"/>
    <w:rsid w:val="00C45236"/>
    <w:rsid w:val="00E118DE"/>
    <w:rsid w:val="00F24D46"/>
    <w:rsid w:val="00F61DDD"/>
    <w:rsid w:val="00F63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F2D"/>
    <w:pPr>
      <w:widowControl w:val="0"/>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251"/>
    <w:pPr>
      <w:ind w:left="720"/>
      <w:contextualSpacing/>
    </w:pPr>
  </w:style>
  <w:style w:type="paragraph" w:styleId="BalloonText">
    <w:name w:val="Balloon Text"/>
    <w:basedOn w:val="Normal"/>
    <w:link w:val="BalloonTextChar"/>
    <w:uiPriority w:val="99"/>
    <w:semiHidden/>
    <w:unhideWhenUsed/>
    <w:rsid w:val="004F49EE"/>
    <w:rPr>
      <w:rFonts w:ascii="Tahoma" w:hAnsi="Tahoma" w:cs="Tahoma"/>
      <w:sz w:val="16"/>
      <w:szCs w:val="16"/>
    </w:rPr>
  </w:style>
  <w:style w:type="character" w:customStyle="1" w:styleId="BalloonTextChar">
    <w:name w:val="Balloon Text Char"/>
    <w:basedOn w:val="DefaultParagraphFont"/>
    <w:link w:val="BalloonText"/>
    <w:uiPriority w:val="99"/>
    <w:semiHidden/>
    <w:rsid w:val="004F49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F2D"/>
    <w:pPr>
      <w:widowControl w:val="0"/>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251"/>
    <w:pPr>
      <w:ind w:left="720"/>
      <w:contextualSpacing/>
    </w:pPr>
  </w:style>
  <w:style w:type="paragraph" w:styleId="BalloonText">
    <w:name w:val="Balloon Text"/>
    <w:basedOn w:val="Normal"/>
    <w:link w:val="BalloonTextChar"/>
    <w:uiPriority w:val="99"/>
    <w:semiHidden/>
    <w:unhideWhenUsed/>
    <w:rsid w:val="004F49EE"/>
    <w:rPr>
      <w:rFonts w:ascii="Tahoma" w:hAnsi="Tahoma" w:cs="Tahoma"/>
      <w:sz w:val="16"/>
      <w:szCs w:val="16"/>
    </w:rPr>
  </w:style>
  <w:style w:type="character" w:customStyle="1" w:styleId="BalloonTextChar">
    <w:name w:val="Balloon Text Char"/>
    <w:basedOn w:val="DefaultParagraphFont"/>
    <w:link w:val="BalloonText"/>
    <w:uiPriority w:val="99"/>
    <w:semiHidden/>
    <w:rsid w:val="004F49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354</Words>
  <Characters>1728</Characters>
  <Application>Microsoft Office Word</Application>
  <DocSecurity>0</DocSecurity>
  <Lines>39</Lines>
  <Paragraphs>14</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TULLOS, OWEN W Lt Col USAF ACC 49 WG/JA</dc:creator>
  <cp:lastModifiedBy>WINFREY, MATTHEW D Lt Col USAF ACC ACC JA/JA</cp:lastModifiedBy>
  <cp:revision>6</cp:revision>
  <dcterms:created xsi:type="dcterms:W3CDTF">2015-09-18T19:20:00Z</dcterms:created>
  <dcterms:modified xsi:type="dcterms:W3CDTF">2015-10-07T21:23:00Z</dcterms:modified>
</cp:coreProperties>
</file>