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TS.34_3.0_REQ_001 | Requirement Description : The IoT Device SHOULD conform to all IoT Device Application requirements defined in section 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DescriptionPurpose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TS.343.0REQ_001 – “The IoT Device SHOULD conform to all IoT Device Application requirements defined in section 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IoT Device has the latest firmware version supporting section‑4 requirements.• IoT Device Application is installed and registered on the device.• Device is provisioned with a valid SIM and authenticated to the mobile network.• Device is in a known good state (e.g., not in emergency mode, not during a migration).• Test environment has access to the network and logging capabilities to capture application behaviour.</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the device’s application startup sequence and log all startup messages.2. Verify that the application registers successfully with the network and reports its capabilities.3. Execute the functional test suite derived from each sub‑requirement in section 4, including data format handling, command/response handling, security parameter exchange, and resource cleanup.4. Monitor the application for any unsupported or missing mandatory features during the test sequence.5. After completion, collect the application compliance report generated by the device.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device reports successful completion of all sub‑tests corresponding to the IoT Device Application requirements in section 4, with no violations or unimplemented mandatory features identified. No errors or unsupported operations are logged during the test sequence.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2025-12-22T14:54:27.864Z</dcterms:created>
  <dcterms:modified xsi:type="dcterms:W3CDTF">2025-12-22T14:54:27.864Z</dcterms:modified>
</cp:coreProperties>
</file>

<file path=docProps/custom.xml><?xml version="1.0" encoding="utf-8"?>
<Properties xmlns="http://schemas.openxmlformats.org/officeDocument/2006/custom-properties" xmlns:vt="http://schemas.openxmlformats.org/officeDocument/2006/docPropsVTypes"/>
</file>