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670"/>
        <w:gridCol w:w="2015"/>
      </w:tblGrid>
      <w:tr w:rsidR="000B50DA" w:rsidTr="000B50DA">
        <w:trPr>
          <w:trHeight w:val="255"/>
        </w:trPr>
        <w:tc>
          <w:tcPr>
            <w:tcW w:w="2093" w:type="dxa"/>
            <w:vMerge w:val="restart"/>
            <w:tcBorders>
              <w:top w:val="nil"/>
              <w:left w:val="nil"/>
              <w:bottom w:val="nil"/>
              <w:right w:val="single" w:sz="4" w:space="0" w:color="auto"/>
            </w:tcBorders>
            <w:vAlign w:val="center"/>
            <w:hideMark/>
          </w:tcPr>
          <w:p w:rsidR="000B50DA" w:rsidRDefault="00C711F6">
            <w:pPr>
              <w:spacing w:after="0" w:line="240" w:lineRule="auto"/>
              <w:rPr>
                <w:rFonts w:ascii="Century Gothic" w:hAnsi="Century Gothic"/>
              </w:rPr>
            </w:pPr>
            <w:r>
              <w:rPr>
                <w:noProof/>
                <w:lang w:eastAsia="fr-FR"/>
              </w:rPr>
              <w:drawing>
                <wp:anchor distT="0" distB="0" distL="114300" distR="114300" simplePos="0" relativeHeight="251656704" behindDoc="1" locked="0" layoutInCell="1" allowOverlap="0" wp14:anchorId="10CD1A2D" wp14:editId="2771E147">
                  <wp:simplePos x="0" y="0"/>
                  <wp:positionH relativeFrom="column">
                    <wp:posOffset>-253365</wp:posOffset>
                  </wp:positionH>
                  <wp:positionV relativeFrom="paragraph">
                    <wp:posOffset>34925</wp:posOffset>
                  </wp:positionV>
                  <wp:extent cx="1466850" cy="961390"/>
                  <wp:effectExtent l="19050" t="19050" r="19050" b="29210"/>
                  <wp:wrapNone/>
                  <wp:docPr id="5"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60000">
                            <a:off x="0" y="0"/>
                            <a:ext cx="1466850" cy="961390"/>
                          </a:xfrm>
                          <a:prstGeom prst="rect">
                            <a:avLst/>
                          </a:prstGeom>
                          <a:noFill/>
                        </pic:spPr>
                      </pic:pic>
                    </a:graphicData>
                  </a:graphic>
                  <wp14:sizeRelH relativeFrom="page">
                    <wp14:pctWidth>0</wp14:pctWidth>
                  </wp14:sizeRelH>
                  <wp14:sizeRelV relativeFrom="page">
                    <wp14:pctHeight>0</wp14:pctHeight>
                  </wp14:sizeRelV>
                </wp:anchor>
              </w:drawing>
            </w:r>
          </w:p>
        </w:tc>
        <w:tc>
          <w:tcPr>
            <w:tcW w:w="567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0B50DA" w:rsidRDefault="001B734D" w:rsidP="001E2585">
            <w:pPr>
              <w:spacing w:before="240" w:after="240" w:line="240" w:lineRule="auto"/>
              <w:jc w:val="center"/>
              <w:rPr>
                <w:rFonts w:ascii="Century Gothic" w:hAnsi="Century Gothic"/>
                <w:b/>
                <w:color w:val="FFFFFF"/>
                <w:sz w:val="32"/>
                <w:szCs w:val="32"/>
              </w:rPr>
            </w:pPr>
            <w:r>
              <w:rPr>
                <w:rFonts w:ascii="Century Gothic" w:hAnsi="Century Gothic"/>
                <w:b/>
                <w:color w:val="FFFFFF"/>
                <w:sz w:val="32"/>
                <w:szCs w:val="32"/>
              </w:rPr>
              <w:t xml:space="preserve">Thème : </w:t>
            </w:r>
            <w:r w:rsidR="001E2585">
              <w:rPr>
                <w:rFonts w:ascii="Century Gothic" w:hAnsi="Century Gothic"/>
                <w:b/>
                <w:color w:val="FFFFFF"/>
                <w:sz w:val="32"/>
                <w:szCs w:val="32"/>
              </w:rPr>
              <w:t>organismes assurance maladie</w:t>
            </w:r>
          </w:p>
        </w:tc>
        <w:tc>
          <w:tcPr>
            <w:tcW w:w="2015" w:type="dxa"/>
            <w:vMerge w:val="restart"/>
            <w:tcBorders>
              <w:top w:val="nil"/>
              <w:left w:val="single" w:sz="4" w:space="0" w:color="auto"/>
              <w:bottom w:val="nil"/>
              <w:right w:val="nil"/>
            </w:tcBorders>
            <w:vAlign w:val="center"/>
          </w:tcPr>
          <w:p w:rsidR="000B50DA" w:rsidRDefault="000B50DA">
            <w:pPr>
              <w:spacing w:after="0" w:line="240" w:lineRule="auto"/>
              <w:rPr>
                <w:noProof/>
                <w:lang w:eastAsia="fr-FR"/>
              </w:rPr>
            </w:pPr>
          </w:p>
          <w:p w:rsidR="000B50DA" w:rsidRDefault="00C711F6">
            <w:pPr>
              <w:spacing w:after="0" w:line="240" w:lineRule="auto"/>
              <w:rPr>
                <w:rFonts w:ascii="Century Gothic" w:hAnsi="Century Gothic"/>
              </w:rPr>
            </w:pPr>
            <w:r>
              <w:rPr>
                <w:noProof/>
                <w:lang w:eastAsia="fr-FR"/>
              </w:rPr>
              <w:drawing>
                <wp:inline distT="0" distB="0" distL="0" distR="0" wp14:anchorId="56DC2BB8" wp14:editId="57862442">
                  <wp:extent cx="933450" cy="685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685800"/>
                          </a:xfrm>
                          <a:prstGeom prst="rect">
                            <a:avLst/>
                          </a:prstGeom>
                          <a:noFill/>
                          <a:ln>
                            <a:noFill/>
                          </a:ln>
                        </pic:spPr>
                      </pic:pic>
                    </a:graphicData>
                  </a:graphic>
                </wp:inline>
              </w:drawing>
            </w:r>
          </w:p>
        </w:tc>
      </w:tr>
      <w:tr w:rsidR="000B50DA" w:rsidTr="000B50DA">
        <w:trPr>
          <w:trHeight w:val="255"/>
        </w:trPr>
        <w:tc>
          <w:tcPr>
            <w:tcW w:w="0" w:type="auto"/>
            <w:vMerge/>
            <w:tcBorders>
              <w:top w:val="nil"/>
              <w:left w:val="nil"/>
              <w:bottom w:val="nil"/>
              <w:right w:val="single" w:sz="4" w:space="0" w:color="auto"/>
            </w:tcBorders>
            <w:vAlign w:val="center"/>
            <w:hideMark/>
          </w:tcPr>
          <w:p w:rsidR="000B50DA" w:rsidRDefault="000B50DA">
            <w:pPr>
              <w:spacing w:after="0" w:line="240" w:lineRule="auto"/>
              <w:rPr>
                <w:rFonts w:ascii="Century Gothic" w:hAnsi="Century Gothic"/>
              </w:rPr>
            </w:pPr>
          </w:p>
        </w:tc>
        <w:tc>
          <w:tcPr>
            <w:tcW w:w="5670" w:type="dxa"/>
            <w:tcBorders>
              <w:top w:val="single" w:sz="4" w:space="0" w:color="auto"/>
              <w:left w:val="single" w:sz="4" w:space="0" w:color="auto"/>
              <w:bottom w:val="single" w:sz="4" w:space="0" w:color="auto"/>
              <w:right w:val="single" w:sz="4" w:space="0" w:color="auto"/>
            </w:tcBorders>
            <w:vAlign w:val="center"/>
            <w:hideMark/>
          </w:tcPr>
          <w:p w:rsidR="000B50DA" w:rsidRDefault="000B50DA" w:rsidP="001B734D">
            <w:pPr>
              <w:spacing w:before="240" w:after="240" w:line="240" w:lineRule="auto"/>
              <w:jc w:val="center"/>
              <w:rPr>
                <w:rFonts w:ascii="Century Gothic" w:hAnsi="Century Gothic"/>
                <w:b/>
                <w:color w:val="548DD4"/>
                <w:sz w:val="28"/>
                <w:szCs w:val="28"/>
              </w:rPr>
            </w:pPr>
            <w:r>
              <w:rPr>
                <w:rFonts w:ascii="Century Gothic" w:hAnsi="Century Gothic"/>
                <w:b/>
                <w:color w:val="548DD4"/>
                <w:sz w:val="28"/>
                <w:szCs w:val="28"/>
              </w:rPr>
              <w:t xml:space="preserve">Fiche : </w:t>
            </w:r>
            <w:r w:rsidR="001B734D">
              <w:rPr>
                <w:rFonts w:ascii="Century Gothic" w:hAnsi="Century Gothic"/>
                <w:b/>
                <w:color w:val="548DD4"/>
                <w:sz w:val="28"/>
                <w:szCs w:val="28"/>
              </w:rPr>
              <w:t>NOTIONS</w:t>
            </w:r>
            <w:r w:rsidR="0012232B">
              <w:rPr>
                <w:rFonts w:ascii="Century Gothic" w:hAnsi="Century Gothic"/>
                <w:b/>
                <w:color w:val="548DD4"/>
                <w:sz w:val="28"/>
                <w:szCs w:val="28"/>
              </w:rPr>
              <w:t xml:space="preserve"> AUTOUR DES </w:t>
            </w:r>
            <w:r w:rsidR="001B734D">
              <w:rPr>
                <w:rFonts w:ascii="Century Gothic" w:hAnsi="Century Gothic"/>
                <w:b/>
                <w:color w:val="548DD4"/>
                <w:sz w:val="28"/>
                <w:szCs w:val="28"/>
              </w:rPr>
              <w:t>SECTIONS LOCALES MUTUALISTES</w:t>
            </w:r>
          </w:p>
        </w:tc>
        <w:tc>
          <w:tcPr>
            <w:tcW w:w="0" w:type="auto"/>
            <w:vMerge/>
            <w:tcBorders>
              <w:top w:val="nil"/>
              <w:left w:val="single" w:sz="4" w:space="0" w:color="auto"/>
              <w:bottom w:val="nil"/>
              <w:right w:val="nil"/>
            </w:tcBorders>
            <w:vAlign w:val="center"/>
            <w:hideMark/>
          </w:tcPr>
          <w:p w:rsidR="000B50DA" w:rsidRDefault="000B50DA">
            <w:pPr>
              <w:spacing w:after="0" w:line="240" w:lineRule="auto"/>
              <w:rPr>
                <w:rFonts w:ascii="Century Gothic" w:hAnsi="Century Gothic"/>
              </w:rPr>
            </w:pPr>
          </w:p>
        </w:tc>
      </w:tr>
    </w:tbl>
    <w:p w:rsidR="000B50DA" w:rsidRDefault="000B50DA" w:rsidP="000B50DA">
      <w:pPr>
        <w:spacing w:after="0" w:line="240" w:lineRule="auto"/>
        <w:rPr>
          <w:rFonts w:ascii="Century Gothic" w:hAnsi="Century Gothic"/>
        </w:rPr>
      </w:pPr>
    </w:p>
    <w:p w:rsidR="000B50DA" w:rsidRDefault="00C711F6" w:rsidP="000B50DA">
      <w:pPr>
        <w:spacing w:after="0" w:line="240" w:lineRule="auto"/>
        <w:rPr>
          <w:rFonts w:ascii="Century Gothic" w:hAnsi="Century Gothic"/>
        </w:rPr>
      </w:pPr>
      <w:r>
        <w:rPr>
          <w:noProof/>
          <w:lang w:eastAsia="fr-FR"/>
        </w:rPr>
        <mc:AlternateContent>
          <mc:Choice Requires="wps">
            <w:drawing>
              <wp:anchor distT="0" distB="0" distL="114300" distR="114300" simplePos="0" relativeHeight="251658752" behindDoc="0" locked="0" layoutInCell="1" allowOverlap="1" wp14:anchorId="5029DFD4" wp14:editId="717C9869">
                <wp:simplePos x="0" y="0"/>
                <wp:positionH relativeFrom="column">
                  <wp:posOffset>-66675</wp:posOffset>
                </wp:positionH>
                <wp:positionV relativeFrom="paragraph">
                  <wp:posOffset>95885</wp:posOffset>
                </wp:positionV>
                <wp:extent cx="6306820" cy="1295400"/>
                <wp:effectExtent l="0" t="0" r="17780"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820" cy="1295400"/>
                        </a:xfrm>
                        <a:prstGeom prst="roundRect">
                          <a:avLst>
                            <a:gd name="adj" fmla="val 16667"/>
                          </a:avLst>
                        </a:prstGeom>
                        <a:noFill/>
                        <a:ln w="19050">
                          <a:solidFill>
                            <a:srgbClr val="548D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0431C62" id="AutoShape 5" o:spid="_x0000_s1026" style="position:absolute;margin-left:-5.25pt;margin-top:7.55pt;width:496.6pt;height:1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" filled="f" strokecolor="#548dd4" strokeweight="1.5pt"/>
            </w:pict>
          </mc:Fallback>
        </mc:AlternateContent>
      </w:r>
    </w:p>
    <w:tbl>
      <w:tblPr>
        <w:tblW w:w="0" w:type="auto"/>
        <w:tblLayout w:type="fixed"/>
        <w:tblLook w:val="04A0" w:firstRow="1" w:lastRow="0" w:firstColumn="1" w:lastColumn="0" w:noHBand="0" w:noVBand="1"/>
      </w:tblPr>
      <w:tblGrid>
        <w:gridCol w:w="1384"/>
        <w:gridCol w:w="8470"/>
      </w:tblGrid>
      <w:tr w:rsidR="000B50DA" w:rsidTr="000B50DA">
        <w:tc>
          <w:tcPr>
            <w:tcW w:w="1384" w:type="dxa"/>
            <w:hideMark/>
          </w:tcPr>
          <w:p w:rsidR="000B50DA" w:rsidRDefault="00C711F6">
            <w:pPr>
              <w:spacing w:after="0" w:line="240" w:lineRule="auto"/>
              <w:rPr>
                <w:rFonts w:ascii="Century Gothic" w:hAnsi="Century Gothic"/>
              </w:rPr>
            </w:pPr>
            <w:r>
              <w:rPr>
                <w:noProof/>
                <w:lang w:eastAsia="fr-FR"/>
              </w:rPr>
              <w:drawing>
                <wp:inline distT="0" distB="0" distL="0" distR="0" wp14:anchorId="53EFF086" wp14:editId="36EB329A">
                  <wp:extent cx="828675" cy="628650"/>
                  <wp:effectExtent l="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628650"/>
                          </a:xfrm>
                          <a:prstGeom prst="rect">
                            <a:avLst/>
                          </a:prstGeom>
                          <a:noFill/>
                          <a:ln>
                            <a:noFill/>
                          </a:ln>
                        </pic:spPr>
                      </pic:pic>
                    </a:graphicData>
                  </a:graphic>
                </wp:inline>
              </w:drawing>
            </w:r>
          </w:p>
        </w:tc>
        <w:tc>
          <w:tcPr>
            <w:tcW w:w="8470" w:type="dxa"/>
            <w:hideMark/>
          </w:tcPr>
          <w:p w:rsidR="000B50DA" w:rsidRDefault="000B50DA">
            <w:pPr>
              <w:spacing w:after="0" w:line="240" w:lineRule="auto"/>
              <w:rPr>
                <w:rFonts w:ascii="Century Gothic" w:hAnsi="Century Gothic"/>
                <w:b/>
                <w:i/>
                <w:color w:val="92D050"/>
                <w:sz w:val="24"/>
                <w:szCs w:val="24"/>
              </w:rPr>
            </w:pPr>
            <w:r>
              <w:rPr>
                <w:rFonts w:ascii="Century Gothic" w:hAnsi="Century Gothic"/>
                <w:b/>
                <w:i/>
                <w:color w:val="92D050"/>
                <w:sz w:val="24"/>
                <w:szCs w:val="24"/>
              </w:rPr>
              <w:t>Objectif</w:t>
            </w:r>
          </w:p>
          <w:p w:rsidR="000B50DA" w:rsidRDefault="000B50DA">
            <w:pPr>
              <w:spacing w:after="0" w:line="240" w:lineRule="auto"/>
              <w:jc w:val="both"/>
              <w:rPr>
                <w:rFonts w:ascii="Century Gothic" w:hAnsi="Century Gothic"/>
                <w:sz w:val="24"/>
                <w:szCs w:val="24"/>
              </w:rPr>
            </w:pPr>
            <w:r>
              <w:rPr>
                <w:rFonts w:ascii="Century Gothic" w:hAnsi="Century Gothic"/>
                <w:sz w:val="24"/>
                <w:szCs w:val="24"/>
              </w:rPr>
              <w:t xml:space="preserve">Comprendre la définition des différentes </w:t>
            </w:r>
            <w:r w:rsidR="00DA5437">
              <w:rPr>
                <w:rFonts w:ascii="Century Gothic" w:hAnsi="Century Gothic"/>
                <w:sz w:val="24"/>
                <w:szCs w:val="24"/>
              </w:rPr>
              <w:t xml:space="preserve">Mutuelles gérant la part </w:t>
            </w:r>
            <w:r w:rsidR="00832F72">
              <w:rPr>
                <w:rFonts w:ascii="Century Gothic" w:hAnsi="Century Gothic"/>
                <w:sz w:val="24"/>
                <w:szCs w:val="24"/>
              </w:rPr>
              <w:t xml:space="preserve">obligatoire de la </w:t>
            </w:r>
            <w:r w:rsidR="00DA5437">
              <w:rPr>
                <w:rFonts w:ascii="Century Gothic" w:hAnsi="Century Gothic"/>
                <w:sz w:val="24"/>
                <w:szCs w:val="24"/>
              </w:rPr>
              <w:t>sécurité sociale</w:t>
            </w:r>
            <w:r w:rsidR="00832F72">
              <w:rPr>
                <w:rFonts w:ascii="Century Gothic" w:hAnsi="Century Gothic"/>
                <w:sz w:val="24"/>
                <w:szCs w:val="24"/>
              </w:rPr>
              <w:t xml:space="preserve"> pour le régime général</w:t>
            </w:r>
            <w:r w:rsidR="00DA5437">
              <w:rPr>
                <w:rFonts w:ascii="Century Gothic" w:hAnsi="Century Gothic"/>
                <w:sz w:val="24"/>
                <w:szCs w:val="24"/>
              </w:rPr>
              <w:t xml:space="preserve"> </w:t>
            </w:r>
            <w:r>
              <w:rPr>
                <w:rFonts w:ascii="Century Gothic" w:hAnsi="Century Gothic"/>
                <w:sz w:val="24"/>
                <w:szCs w:val="24"/>
              </w:rPr>
              <w:t>et la façon dont elles sont alimentées dans le SNDS</w:t>
            </w:r>
          </w:p>
          <w:p w:rsidR="000B50DA" w:rsidRDefault="000B50DA">
            <w:pPr>
              <w:spacing w:after="0" w:line="240" w:lineRule="auto"/>
              <w:rPr>
                <w:rFonts w:ascii="Century Gothic" w:hAnsi="Century Gothic"/>
                <w:b/>
                <w:i/>
                <w:color w:val="92D050"/>
                <w:sz w:val="24"/>
                <w:szCs w:val="24"/>
              </w:rPr>
            </w:pPr>
            <w:r>
              <w:rPr>
                <w:rFonts w:ascii="Century Gothic" w:hAnsi="Century Gothic"/>
                <w:b/>
                <w:i/>
                <w:color w:val="92D050"/>
                <w:sz w:val="24"/>
                <w:szCs w:val="24"/>
              </w:rPr>
              <w:t>Public ciblé</w:t>
            </w:r>
          </w:p>
          <w:p w:rsidR="000B50DA" w:rsidRDefault="000B50DA" w:rsidP="000B50DA">
            <w:pPr>
              <w:spacing w:after="0" w:line="240" w:lineRule="auto"/>
              <w:jc w:val="both"/>
              <w:rPr>
                <w:rFonts w:ascii="Century Gothic" w:hAnsi="Century Gothic"/>
                <w:sz w:val="24"/>
                <w:szCs w:val="24"/>
              </w:rPr>
            </w:pPr>
            <w:r>
              <w:rPr>
                <w:rFonts w:ascii="Century Gothic" w:hAnsi="Century Gothic"/>
                <w:sz w:val="24"/>
                <w:szCs w:val="24"/>
              </w:rPr>
              <w:t>Toute personne ayant accès aux données du SNDS, tous produits</w:t>
            </w:r>
          </w:p>
        </w:tc>
      </w:tr>
    </w:tbl>
    <w:p w:rsidR="000B50DA" w:rsidRDefault="00C711F6" w:rsidP="000B50DA">
      <w:pPr>
        <w:spacing w:after="0" w:line="240" w:lineRule="auto"/>
        <w:rPr>
          <w:rFonts w:ascii="Century Gothic" w:hAnsi="Century Gothic"/>
        </w:rPr>
      </w:pPr>
      <w:r>
        <w:rPr>
          <w:noProof/>
          <w:lang w:eastAsia="fr-FR"/>
        </w:rPr>
        <mc:AlternateContent>
          <mc:Choice Requires="wps">
            <w:drawing>
              <wp:anchor distT="0" distB="0" distL="114300" distR="114300" simplePos="0" relativeHeight="251657728" behindDoc="0" locked="0" layoutInCell="1" allowOverlap="1" wp14:anchorId="78010353" wp14:editId="59E98EFF">
                <wp:simplePos x="0" y="0"/>
                <wp:positionH relativeFrom="column">
                  <wp:posOffset>371475</wp:posOffset>
                </wp:positionH>
                <wp:positionV relativeFrom="paragraph">
                  <wp:posOffset>8728710</wp:posOffset>
                </wp:positionV>
                <wp:extent cx="6814820" cy="1198880"/>
                <wp:effectExtent l="19050" t="13335" r="14605" b="16510"/>
                <wp:wrapNone/>
                <wp:docPr id="3" name="Rectangle à coins arrondis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4820" cy="1198880"/>
                        </a:xfrm>
                        <a:prstGeom prst="roundRect">
                          <a:avLst>
                            <a:gd name="adj" fmla="val 16667"/>
                          </a:avLst>
                        </a:prstGeom>
                        <a:noFill/>
                        <a:ln w="25400">
                          <a:solidFill>
                            <a:srgbClr val="558E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72392763" id="Rectangle à coins arrondis 299" o:spid="_x0000_s1026" style="position:absolute;margin-left:29.25pt;margin-top:687.3pt;width:536.6pt;height:9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" filled="f" strokecolor="#558ed5" strokeweight="2pt"/>
            </w:pict>
          </mc:Fallback>
        </mc:AlternateContent>
      </w:r>
    </w:p>
    <w:p w:rsidR="000B50DA" w:rsidRDefault="000B50DA" w:rsidP="000B50DA">
      <w:pPr>
        <w:spacing w:after="0" w:line="240" w:lineRule="auto"/>
        <w:rPr>
          <w:rFonts w:ascii="Century Gothic" w:hAnsi="Century Gothic"/>
        </w:rPr>
      </w:pPr>
    </w:p>
    <w:p w:rsidR="00D56806" w:rsidRDefault="00D56806" w:rsidP="000B50DA">
      <w:pPr>
        <w:spacing w:after="0" w:line="240" w:lineRule="auto"/>
        <w:rPr>
          <w:rFonts w:ascii="Century Gothic" w:hAnsi="Century Gothic"/>
        </w:rPr>
      </w:pPr>
    </w:p>
    <w:p w:rsidR="000B50DA" w:rsidRPr="00C711F6" w:rsidRDefault="00E34133" w:rsidP="00E34133">
      <w:pPr>
        <w:spacing w:after="0" w:line="240" w:lineRule="auto"/>
        <w:jc w:val="both"/>
        <w:rPr>
          <w:rFonts w:ascii="Century Gothic" w:hAnsi="Century Gothic"/>
          <w:b/>
          <w:sz w:val="24"/>
          <w:szCs w:val="24"/>
          <w:u w:val="single"/>
        </w:rPr>
      </w:pPr>
      <w:r>
        <w:rPr>
          <w:rFonts w:ascii="Century Gothic" w:hAnsi="Century Gothic"/>
          <w:b/>
          <w:sz w:val="24"/>
          <w:szCs w:val="24"/>
          <w:u w:val="single"/>
        </w:rPr>
        <w:t xml:space="preserve">1 – </w:t>
      </w:r>
      <w:r w:rsidR="00BB46DD">
        <w:rPr>
          <w:rFonts w:ascii="Century Gothic" w:hAnsi="Century Gothic"/>
          <w:b/>
          <w:sz w:val="24"/>
          <w:szCs w:val="24"/>
          <w:u w:val="single"/>
        </w:rPr>
        <w:t>Quelques notions</w:t>
      </w:r>
      <w:r w:rsidR="001B734D">
        <w:rPr>
          <w:rFonts w:ascii="Century Gothic" w:hAnsi="Century Gothic"/>
          <w:b/>
          <w:sz w:val="24"/>
          <w:szCs w:val="24"/>
          <w:u w:val="single"/>
        </w:rPr>
        <w:t xml:space="preserve"> préalables</w:t>
      </w:r>
      <w:r w:rsidR="00BB46DD">
        <w:rPr>
          <w:rFonts w:ascii="Century Gothic" w:hAnsi="Century Gothic"/>
          <w:b/>
          <w:sz w:val="24"/>
          <w:szCs w:val="24"/>
          <w:u w:val="single"/>
        </w:rPr>
        <w:t xml:space="preserve"> sur les organismes de liquidation / d’affiliation</w:t>
      </w:r>
      <w:r w:rsidR="0071290E" w:rsidRPr="0071290E">
        <w:rPr>
          <w:rFonts w:ascii="Century Gothic" w:hAnsi="Century Gothic"/>
          <w:b/>
          <w:sz w:val="24"/>
          <w:szCs w:val="24"/>
        </w:rPr>
        <w:t xml:space="preserve"> </w:t>
      </w:r>
    </w:p>
    <w:p w:rsidR="00C711F6" w:rsidRDefault="00C711F6" w:rsidP="00C711F6">
      <w:pPr>
        <w:spacing w:after="0" w:line="240" w:lineRule="auto"/>
        <w:rPr>
          <w:rFonts w:ascii="Century Gothic" w:hAnsi="Century Gothic"/>
          <w:sz w:val="24"/>
          <w:szCs w:val="24"/>
        </w:rPr>
      </w:pPr>
    </w:p>
    <w:p w:rsidR="0071290E" w:rsidRDefault="00BB46DD" w:rsidP="00A72BD1">
      <w:pPr>
        <w:spacing w:after="0" w:line="240" w:lineRule="auto"/>
        <w:jc w:val="both"/>
        <w:rPr>
          <w:rFonts w:ascii="Century Gothic" w:hAnsi="Century Gothic"/>
          <w:sz w:val="24"/>
          <w:szCs w:val="24"/>
        </w:rPr>
      </w:pPr>
      <w:r>
        <w:rPr>
          <w:rFonts w:ascii="Century Gothic" w:hAnsi="Century Gothic"/>
          <w:sz w:val="24"/>
          <w:szCs w:val="24"/>
        </w:rPr>
        <w:t>On note</w:t>
      </w:r>
      <w:r w:rsidR="001B734D">
        <w:rPr>
          <w:rFonts w:ascii="Century Gothic" w:hAnsi="Century Gothic"/>
          <w:sz w:val="24"/>
          <w:szCs w:val="24"/>
        </w:rPr>
        <w:t xml:space="preserve"> </w:t>
      </w:r>
      <w:r>
        <w:rPr>
          <w:rFonts w:ascii="Century Gothic" w:hAnsi="Century Gothic"/>
          <w:sz w:val="24"/>
          <w:szCs w:val="24"/>
        </w:rPr>
        <w:t>SLM la</w:t>
      </w:r>
      <w:r w:rsidRPr="00C711F6">
        <w:rPr>
          <w:rFonts w:ascii="Century Gothic" w:hAnsi="Century Gothic"/>
          <w:sz w:val="24"/>
          <w:szCs w:val="24"/>
        </w:rPr>
        <w:t xml:space="preserve"> </w:t>
      </w:r>
      <w:r>
        <w:rPr>
          <w:rFonts w:ascii="Century Gothic" w:hAnsi="Century Gothic"/>
          <w:sz w:val="24"/>
          <w:szCs w:val="24"/>
        </w:rPr>
        <w:t>Section Locale M</w:t>
      </w:r>
      <w:r w:rsidRPr="00C711F6">
        <w:rPr>
          <w:rFonts w:ascii="Century Gothic" w:hAnsi="Century Gothic"/>
          <w:sz w:val="24"/>
          <w:szCs w:val="24"/>
        </w:rPr>
        <w:t>utualiste</w:t>
      </w:r>
      <w:r>
        <w:rPr>
          <w:rFonts w:ascii="Century Gothic" w:hAnsi="Century Gothic"/>
          <w:sz w:val="24"/>
          <w:szCs w:val="24"/>
        </w:rPr>
        <w:t xml:space="preserve">, c’est-à-dire une Mutuelle </w:t>
      </w:r>
      <w:r w:rsidR="00A72BD1">
        <w:rPr>
          <w:rFonts w:ascii="Century Gothic" w:hAnsi="Century Gothic"/>
          <w:sz w:val="24"/>
          <w:szCs w:val="24"/>
        </w:rPr>
        <w:t>c</w:t>
      </w:r>
      <w:r>
        <w:rPr>
          <w:rFonts w:ascii="Century Gothic" w:hAnsi="Century Gothic"/>
          <w:sz w:val="24"/>
          <w:szCs w:val="24"/>
        </w:rPr>
        <w:t xml:space="preserve">omplémentaire qui propose </w:t>
      </w:r>
      <w:r w:rsidR="00A72BD1">
        <w:rPr>
          <w:rFonts w:ascii="Century Gothic" w:hAnsi="Century Gothic"/>
          <w:sz w:val="24"/>
          <w:szCs w:val="24"/>
        </w:rPr>
        <w:t>à ses adhérents</w:t>
      </w:r>
      <w:r w:rsidR="00832F72">
        <w:rPr>
          <w:rFonts w:ascii="Century Gothic" w:hAnsi="Century Gothic"/>
          <w:sz w:val="24"/>
          <w:szCs w:val="24"/>
        </w:rPr>
        <w:t xml:space="preserve"> affiliés au régime général,</w:t>
      </w:r>
      <w:r>
        <w:rPr>
          <w:rFonts w:ascii="Century Gothic" w:hAnsi="Century Gothic"/>
          <w:sz w:val="24"/>
          <w:szCs w:val="24"/>
        </w:rPr>
        <w:t xml:space="preserve"> un service de gestion de la part</w:t>
      </w:r>
      <w:r w:rsidR="0097416B">
        <w:rPr>
          <w:rFonts w:ascii="Century Gothic" w:hAnsi="Century Gothic"/>
          <w:sz w:val="24"/>
          <w:szCs w:val="24"/>
        </w:rPr>
        <w:t xml:space="preserve"> </w:t>
      </w:r>
      <w:r w:rsidR="00832F72">
        <w:rPr>
          <w:rFonts w:ascii="Century Gothic" w:hAnsi="Century Gothic"/>
          <w:sz w:val="24"/>
          <w:szCs w:val="24"/>
        </w:rPr>
        <w:t>obligatoire</w:t>
      </w:r>
      <w:r>
        <w:rPr>
          <w:rFonts w:ascii="Century Gothic" w:hAnsi="Century Gothic"/>
          <w:sz w:val="24"/>
          <w:szCs w:val="24"/>
        </w:rPr>
        <w:t xml:space="preserve"> </w:t>
      </w:r>
      <w:r w:rsidR="00A72BD1">
        <w:rPr>
          <w:rFonts w:ascii="Century Gothic" w:hAnsi="Century Gothic"/>
          <w:sz w:val="24"/>
          <w:szCs w:val="24"/>
        </w:rPr>
        <w:t>remboursée par la</w:t>
      </w:r>
      <w:r>
        <w:rPr>
          <w:rFonts w:ascii="Century Gothic" w:hAnsi="Century Gothic"/>
          <w:sz w:val="24"/>
          <w:szCs w:val="24"/>
        </w:rPr>
        <w:t xml:space="preserve"> sécurité sociale.</w:t>
      </w:r>
      <w:r w:rsidR="00A72BD1">
        <w:rPr>
          <w:rFonts w:ascii="Century Gothic" w:hAnsi="Century Gothic"/>
          <w:sz w:val="24"/>
          <w:szCs w:val="24"/>
        </w:rPr>
        <w:t xml:space="preserve"> Elle est l’unique interlocuteur et rembourse à son adhérent la part </w:t>
      </w:r>
      <w:r w:rsidR="00832F72">
        <w:rPr>
          <w:rFonts w:ascii="Century Gothic" w:hAnsi="Century Gothic"/>
          <w:sz w:val="24"/>
          <w:szCs w:val="24"/>
        </w:rPr>
        <w:t xml:space="preserve">obligatoire </w:t>
      </w:r>
      <w:r w:rsidR="00A72BD1">
        <w:rPr>
          <w:rFonts w:ascii="Century Gothic" w:hAnsi="Century Gothic"/>
          <w:sz w:val="24"/>
          <w:szCs w:val="24"/>
        </w:rPr>
        <w:t xml:space="preserve">sécurité sociale et la part mutuelle complémentaire. </w:t>
      </w:r>
    </w:p>
    <w:p w:rsidR="00A72BD1" w:rsidRDefault="00A72BD1" w:rsidP="00A72BD1">
      <w:pPr>
        <w:spacing w:after="0" w:line="240" w:lineRule="auto"/>
        <w:jc w:val="both"/>
        <w:rPr>
          <w:rFonts w:ascii="Century Gothic" w:hAnsi="Century Gothic"/>
          <w:sz w:val="24"/>
          <w:szCs w:val="24"/>
        </w:rPr>
      </w:pPr>
    </w:p>
    <w:p w:rsidR="0071290E" w:rsidRPr="0071290E" w:rsidRDefault="0071290E" w:rsidP="0071290E">
      <w:pPr>
        <w:spacing w:after="0" w:line="240" w:lineRule="auto"/>
        <w:jc w:val="both"/>
        <w:rPr>
          <w:rFonts w:ascii="Century Gothic" w:hAnsi="Century Gothic"/>
          <w:sz w:val="24"/>
          <w:szCs w:val="24"/>
        </w:rPr>
      </w:pPr>
      <w:r w:rsidRPr="0071290E">
        <w:rPr>
          <w:rFonts w:ascii="Century Gothic" w:hAnsi="Century Gothic"/>
          <w:sz w:val="24"/>
          <w:szCs w:val="24"/>
        </w:rPr>
        <w:t>Les variables ORG_CLE_NEW</w:t>
      </w:r>
      <w:r>
        <w:rPr>
          <w:rFonts w:ascii="Century Gothic" w:hAnsi="Century Gothic"/>
          <w:sz w:val="24"/>
          <w:szCs w:val="24"/>
        </w:rPr>
        <w:t xml:space="preserve"> (</w:t>
      </w:r>
      <w:r w:rsidRPr="0071290E">
        <w:rPr>
          <w:rFonts w:ascii="Century Gothic" w:hAnsi="Century Gothic"/>
          <w:sz w:val="24"/>
          <w:szCs w:val="24"/>
        </w:rPr>
        <w:t>Code de l'organisme de liquidation</w:t>
      </w:r>
      <w:r>
        <w:rPr>
          <w:rFonts w:ascii="Century Gothic" w:hAnsi="Century Gothic"/>
          <w:sz w:val="24"/>
          <w:szCs w:val="24"/>
        </w:rPr>
        <w:t>)</w:t>
      </w:r>
      <w:r w:rsidRPr="0071290E">
        <w:rPr>
          <w:rFonts w:ascii="Century Gothic" w:hAnsi="Century Gothic"/>
          <w:sz w:val="24"/>
          <w:szCs w:val="24"/>
        </w:rPr>
        <w:t xml:space="preserve"> et ORG_AFF_BEN</w:t>
      </w:r>
      <w:r>
        <w:rPr>
          <w:rFonts w:ascii="Century Gothic" w:hAnsi="Century Gothic"/>
          <w:sz w:val="24"/>
          <w:szCs w:val="24"/>
        </w:rPr>
        <w:t xml:space="preserve"> (</w:t>
      </w:r>
      <w:r w:rsidRPr="0071290E">
        <w:rPr>
          <w:rFonts w:ascii="Century Gothic" w:hAnsi="Century Gothic"/>
          <w:sz w:val="24"/>
          <w:szCs w:val="24"/>
        </w:rPr>
        <w:t>Code de l'organisme d'affiliation</w:t>
      </w:r>
      <w:r>
        <w:rPr>
          <w:rFonts w:ascii="Century Gothic" w:hAnsi="Century Gothic"/>
          <w:sz w:val="24"/>
          <w:szCs w:val="24"/>
        </w:rPr>
        <w:t xml:space="preserve">) </w:t>
      </w:r>
      <w:r w:rsidRPr="0071290E">
        <w:rPr>
          <w:rFonts w:ascii="Century Gothic" w:hAnsi="Century Gothic"/>
          <w:sz w:val="24"/>
          <w:szCs w:val="24"/>
        </w:rPr>
        <w:t xml:space="preserve">sont décomposées en </w:t>
      </w:r>
      <w:r w:rsidR="00832F72">
        <w:rPr>
          <w:rFonts w:ascii="Century Gothic" w:hAnsi="Century Gothic"/>
          <w:sz w:val="24"/>
          <w:szCs w:val="24"/>
        </w:rPr>
        <w:t xml:space="preserve">4 </w:t>
      </w:r>
      <w:r>
        <w:rPr>
          <w:rFonts w:ascii="Century Gothic" w:hAnsi="Century Gothic"/>
          <w:sz w:val="24"/>
          <w:szCs w:val="24"/>
        </w:rPr>
        <w:t>parties</w:t>
      </w:r>
      <w:r w:rsidRPr="0071290E">
        <w:rPr>
          <w:rFonts w:ascii="Century Gothic" w:hAnsi="Century Gothic"/>
          <w:sz w:val="24"/>
          <w:szCs w:val="24"/>
        </w:rPr>
        <w:t xml:space="preserve"> :</w:t>
      </w:r>
    </w:p>
    <w:p w:rsidR="0071290E" w:rsidRDefault="0071290E" w:rsidP="0071290E">
      <w:pPr>
        <w:pStyle w:val="Paragraphedeliste"/>
        <w:numPr>
          <w:ilvl w:val="0"/>
          <w:numId w:val="3"/>
        </w:numPr>
        <w:spacing w:after="0" w:line="240" w:lineRule="auto"/>
        <w:jc w:val="both"/>
        <w:rPr>
          <w:rFonts w:ascii="Century Gothic" w:hAnsi="Century Gothic"/>
          <w:sz w:val="24"/>
          <w:szCs w:val="24"/>
        </w:rPr>
      </w:pPr>
      <w:r w:rsidRPr="0071290E">
        <w:rPr>
          <w:rFonts w:ascii="Century Gothic" w:hAnsi="Century Gothic"/>
          <w:sz w:val="24"/>
          <w:szCs w:val="24"/>
        </w:rPr>
        <w:t xml:space="preserve">Grand régime de liquidation / d’affiliation : </w:t>
      </w:r>
      <w:r w:rsidR="00832F72">
        <w:rPr>
          <w:rFonts w:ascii="Century Gothic" w:hAnsi="Century Gothic"/>
          <w:sz w:val="24"/>
          <w:szCs w:val="24"/>
        </w:rPr>
        <w:t>2</w:t>
      </w:r>
      <w:r w:rsidR="00832F72" w:rsidRPr="0071290E">
        <w:rPr>
          <w:rFonts w:ascii="Century Gothic" w:hAnsi="Century Gothic"/>
          <w:sz w:val="24"/>
          <w:szCs w:val="24"/>
        </w:rPr>
        <w:t xml:space="preserve"> </w:t>
      </w:r>
      <w:r>
        <w:rPr>
          <w:rFonts w:ascii="Century Gothic" w:hAnsi="Century Gothic"/>
          <w:sz w:val="24"/>
          <w:szCs w:val="24"/>
        </w:rPr>
        <w:t>premiers</w:t>
      </w:r>
      <w:r w:rsidRPr="0071290E">
        <w:rPr>
          <w:rFonts w:ascii="Century Gothic" w:hAnsi="Century Gothic"/>
          <w:sz w:val="24"/>
          <w:szCs w:val="24"/>
        </w:rPr>
        <w:t xml:space="preserve"> caractères</w:t>
      </w:r>
    </w:p>
    <w:p w:rsidR="00832F72" w:rsidRPr="0071290E" w:rsidRDefault="00832F72" w:rsidP="0071290E">
      <w:pPr>
        <w:pStyle w:val="Paragraphedeliste"/>
        <w:numPr>
          <w:ilvl w:val="0"/>
          <w:numId w:val="3"/>
        </w:numPr>
        <w:spacing w:after="0" w:line="240" w:lineRule="auto"/>
        <w:jc w:val="both"/>
        <w:rPr>
          <w:rFonts w:ascii="Century Gothic" w:hAnsi="Century Gothic"/>
          <w:sz w:val="24"/>
          <w:szCs w:val="24"/>
        </w:rPr>
      </w:pPr>
      <w:r>
        <w:rPr>
          <w:rFonts w:ascii="Century Gothic" w:hAnsi="Century Gothic"/>
          <w:sz w:val="24"/>
          <w:szCs w:val="24"/>
        </w:rPr>
        <w:t>Type d’organisme : C si géré par CPAM, M si géré par SLM</w:t>
      </w:r>
    </w:p>
    <w:p w:rsidR="0097416B" w:rsidRPr="0071290E" w:rsidRDefault="0071290E" w:rsidP="0071290E">
      <w:pPr>
        <w:pStyle w:val="Paragraphedeliste"/>
        <w:numPr>
          <w:ilvl w:val="0"/>
          <w:numId w:val="4"/>
        </w:numPr>
        <w:spacing w:after="0" w:line="240" w:lineRule="auto"/>
        <w:jc w:val="both"/>
        <w:rPr>
          <w:rFonts w:ascii="Century Gothic" w:hAnsi="Century Gothic"/>
          <w:sz w:val="24"/>
          <w:szCs w:val="24"/>
        </w:rPr>
      </w:pPr>
      <w:r w:rsidRPr="0071290E">
        <w:rPr>
          <w:rFonts w:ascii="Century Gothic" w:hAnsi="Century Gothic"/>
          <w:sz w:val="24"/>
          <w:szCs w:val="24"/>
        </w:rPr>
        <w:t xml:space="preserve">Caisse de liquidation / d’affiliation : </w:t>
      </w:r>
      <w:r>
        <w:rPr>
          <w:rFonts w:ascii="Century Gothic" w:hAnsi="Century Gothic"/>
          <w:sz w:val="24"/>
          <w:szCs w:val="24"/>
        </w:rPr>
        <w:t>caractères</w:t>
      </w:r>
      <w:r w:rsidRPr="0071290E">
        <w:rPr>
          <w:rFonts w:ascii="Century Gothic" w:hAnsi="Century Gothic"/>
          <w:sz w:val="24"/>
          <w:szCs w:val="24"/>
        </w:rPr>
        <w:t xml:space="preserve"> 4 à 6</w:t>
      </w:r>
    </w:p>
    <w:p w:rsidR="00832F72" w:rsidRPr="00404D36" w:rsidRDefault="0071290E" w:rsidP="00404D36">
      <w:pPr>
        <w:pStyle w:val="Paragraphedeliste"/>
        <w:numPr>
          <w:ilvl w:val="0"/>
          <w:numId w:val="4"/>
        </w:numPr>
        <w:spacing w:after="0" w:line="240" w:lineRule="auto"/>
        <w:jc w:val="both"/>
        <w:rPr>
          <w:rFonts w:ascii="Century Gothic" w:hAnsi="Century Gothic"/>
          <w:sz w:val="24"/>
          <w:szCs w:val="24"/>
        </w:rPr>
      </w:pPr>
      <w:r w:rsidRPr="00404D36">
        <w:rPr>
          <w:rFonts w:ascii="Century Gothic" w:hAnsi="Century Gothic"/>
          <w:sz w:val="24"/>
          <w:szCs w:val="24"/>
        </w:rPr>
        <w:t>Code de la SLM</w:t>
      </w:r>
      <w:r w:rsidR="00E34133" w:rsidRPr="00404D36">
        <w:rPr>
          <w:rFonts w:ascii="Century Gothic" w:hAnsi="Century Gothic"/>
          <w:sz w:val="24"/>
          <w:szCs w:val="24"/>
        </w:rPr>
        <w:t xml:space="preserve"> d’affiliation</w:t>
      </w:r>
      <w:r w:rsidR="00BB46DD" w:rsidRPr="00404D36">
        <w:rPr>
          <w:rFonts w:ascii="Century Gothic" w:hAnsi="Century Gothic"/>
          <w:sz w:val="24"/>
          <w:szCs w:val="24"/>
        </w:rPr>
        <w:t xml:space="preserve"> </w:t>
      </w:r>
      <w:r w:rsidRPr="00404D36">
        <w:rPr>
          <w:rFonts w:ascii="Century Gothic" w:hAnsi="Century Gothic"/>
          <w:sz w:val="24"/>
          <w:szCs w:val="24"/>
        </w:rPr>
        <w:t xml:space="preserve">: </w:t>
      </w:r>
      <w:r w:rsidR="00832F72" w:rsidRPr="00404D36">
        <w:rPr>
          <w:rFonts w:ascii="Century Gothic" w:hAnsi="Century Gothic"/>
          <w:sz w:val="24"/>
          <w:szCs w:val="24"/>
        </w:rPr>
        <w:t>N° de la SLM ou 000 si CPAM stricto sensu</w:t>
      </w:r>
    </w:p>
    <w:p w:rsidR="0071290E" w:rsidRPr="0071290E" w:rsidRDefault="0071290E" w:rsidP="00404D36">
      <w:pPr>
        <w:spacing w:after="0" w:line="240" w:lineRule="auto"/>
        <w:jc w:val="center"/>
        <w:rPr>
          <w:rFonts w:ascii="Century Gothic" w:hAnsi="Century Gothic"/>
          <w:sz w:val="24"/>
          <w:szCs w:val="24"/>
        </w:rPr>
      </w:pPr>
      <w:r>
        <w:rPr>
          <w:noProof/>
          <w:lang w:eastAsia="fr-FR"/>
        </w:rPr>
        <w:drawing>
          <wp:inline distT="0" distB="0" distL="0" distR="0" wp14:anchorId="011A4351" wp14:editId="67953325">
            <wp:extent cx="4762500" cy="25413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slm.png"/>
                    <pic:cNvPicPr/>
                  </pic:nvPicPr>
                  <pic:blipFill>
                    <a:blip r:embed="rId12">
                      <a:extLst>
                        <a:ext uri="{28A0092B-C50C-407E-A947-70E740481C1C}">
                          <a14:useLocalDpi xmlns:a14="http://schemas.microsoft.com/office/drawing/2010/main" val="0"/>
                        </a:ext>
                      </a:extLst>
                    </a:blip>
                    <a:stretch>
                      <a:fillRect/>
                    </a:stretch>
                  </pic:blipFill>
                  <pic:spPr>
                    <a:xfrm>
                      <a:off x="0" y="0"/>
                      <a:ext cx="4760926" cy="2540525"/>
                    </a:xfrm>
                    <a:prstGeom prst="rect">
                      <a:avLst/>
                    </a:prstGeom>
                  </pic:spPr>
                </pic:pic>
              </a:graphicData>
            </a:graphic>
          </wp:inline>
        </w:drawing>
      </w:r>
    </w:p>
    <w:p w:rsidR="00D56806" w:rsidRDefault="00D56806" w:rsidP="00A939F0">
      <w:pPr>
        <w:spacing w:after="0" w:line="240" w:lineRule="auto"/>
        <w:jc w:val="both"/>
        <w:rPr>
          <w:rFonts w:ascii="Century Gothic" w:hAnsi="Century Gothic"/>
          <w:b/>
          <w:bCs/>
          <w:sz w:val="24"/>
          <w:szCs w:val="24"/>
          <w:u w:val="single"/>
        </w:rPr>
      </w:pPr>
    </w:p>
    <w:p w:rsidR="00A939F0" w:rsidRPr="0097416B" w:rsidRDefault="00A939F0" w:rsidP="00A939F0">
      <w:pPr>
        <w:spacing w:after="0" w:line="240" w:lineRule="auto"/>
        <w:jc w:val="both"/>
        <w:rPr>
          <w:rFonts w:ascii="Century Gothic" w:hAnsi="Century Gothic"/>
          <w:sz w:val="24"/>
          <w:szCs w:val="24"/>
        </w:rPr>
      </w:pPr>
      <w:r w:rsidRPr="001B734D">
        <w:rPr>
          <w:rFonts w:ascii="Century Gothic" w:hAnsi="Century Gothic"/>
          <w:b/>
          <w:bCs/>
          <w:sz w:val="24"/>
          <w:szCs w:val="24"/>
        </w:rPr>
        <w:t>Organisme de liquidation</w:t>
      </w:r>
      <w:r w:rsidRPr="00A939F0">
        <w:rPr>
          <w:rFonts w:ascii="Century Gothic" w:hAnsi="Century Gothic"/>
          <w:b/>
          <w:bCs/>
          <w:sz w:val="24"/>
          <w:szCs w:val="24"/>
        </w:rPr>
        <w:t xml:space="preserve"> : </w:t>
      </w:r>
      <w:r w:rsidRPr="0012232B">
        <w:rPr>
          <w:rFonts w:ascii="Century Gothic" w:hAnsi="Century Gothic"/>
          <w:b/>
          <w:bCs/>
          <w:sz w:val="24"/>
          <w:szCs w:val="24"/>
        </w:rPr>
        <w:t xml:space="preserve">organisme qui  </w:t>
      </w:r>
      <w:r w:rsidR="00832F72" w:rsidRPr="0012232B">
        <w:rPr>
          <w:rFonts w:ascii="Century Gothic" w:hAnsi="Century Gothic"/>
          <w:b/>
          <w:bCs/>
          <w:sz w:val="24"/>
          <w:szCs w:val="24"/>
        </w:rPr>
        <w:t xml:space="preserve">saisit </w:t>
      </w:r>
      <w:r w:rsidRPr="0012232B">
        <w:rPr>
          <w:rFonts w:ascii="Century Gothic" w:hAnsi="Century Gothic"/>
          <w:b/>
          <w:bCs/>
          <w:sz w:val="24"/>
          <w:szCs w:val="24"/>
        </w:rPr>
        <w:t>les remboursements</w:t>
      </w:r>
      <w:r w:rsidRPr="00404D36">
        <w:rPr>
          <w:rFonts w:ascii="Century Gothic" w:hAnsi="Century Gothic"/>
          <w:bCs/>
          <w:sz w:val="24"/>
          <w:szCs w:val="24"/>
        </w:rPr>
        <w:t xml:space="preserve"> </w:t>
      </w:r>
      <w:r w:rsidR="00832F72" w:rsidRPr="00404D36">
        <w:rPr>
          <w:rFonts w:ascii="Century Gothic" w:hAnsi="Century Gothic"/>
          <w:bCs/>
          <w:sz w:val="24"/>
          <w:szCs w:val="24"/>
        </w:rPr>
        <w:t xml:space="preserve">des </w:t>
      </w:r>
      <w:r w:rsidRPr="00404D36">
        <w:rPr>
          <w:rFonts w:ascii="Century Gothic" w:hAnsi="Century Gothic"/>
          <w:bCs/>
          <w:sz w:val="24"/>
          <w:szCs w:val="24"/>
        </w:rPr>
        <w:t xml:space="preserve">bénéficiaires, </w:t>
      </w:r>
      <w:r w:rsidR="00832F72" w:rsidRPr="00404D36">
        <w:rPr>
          <w:rFonts w:ascii="Century Gothic" w:hAnsi="Century Gothic"/>
          <w:bCs/>
          <w:sz w:val="24"/>
          <w:szCs w:val="24"/>
        </w:rPr>
        <w:t xml:space="preserve">qui lui sont </w:t>
      </w:r>
      <w:r w:rsidRPr="00404D36">
        <w:rPr>
          <w:rFonts w:ascii="Century Gothic" w:hAnsi="Century Gothic"/>
          <w:bCs/>
          <w:sz w:val="24"/>
          <w:szCs w:val="24"/>
        </w:rPr>
        <w:t xml:space="preserve">affiliés, mais aussi, éventuellement, </w:t>
      </w:r>
      <w:r w:rsidR="00832F72" w:rsidRPr="00404D36">
        <w:rPr>
          <w:rFonts w:ascii="Century Gothic" w:hAnsi="Century Gothic"/>
          <w:bCs/>
          <w:sz w:val="24"/>
          <w:szCs w:val="24"/>
        </w:rPr>
        <w:t xml:space="preserve">des </w:t>
      </w:r>
      <w:r w:rsidRPr="00404D36">
        <w:rPr>
          <w:rFonts w:ascii="Century Gothic" w:hAnsi="Century Gothic"/>
          <w:bCs/>
          <w:sz w:val="24"/>
          <w:szCs w:val="24"/>
        </w:rPr>
        <w:t>bénéficiaires affiliés dans d’autres organismes</w:t>
      </w:r>
      <w:r w:rsidR="0097416B">
        <w:rPr>
          <w:rFonts w:ascii="Century Gothic" w:hAnsi="Century Gothic"/>
          <w:bCs/>
          <w:sz w:val="24"/>
          <w:szCs w:val="24"/>
        </w:rPr>
        <w:t> </w:t>
      </w:r>
      <w:r w:rsidR="00845D0A">
        <w:rPr>
          <w:rFonts w:ascii="Century Gothic" w:hAnsi="Century Gothic"/>
          <w:bCs/>
          <w:sz w:val="24"/>
          <w:szCs w:val="24"/>
        </w:rPr>
        <w:t>(</w:t>
      </w:r>
      <w:r w:rsidRPr="00404D36">
        <w:rPr>
          <w:rFonts w:ascii="Century Gothic" w:hAnsi="Century Gothic"/>
          <w:bCs/>
          <w:sz w:val="24"/>
          <w:szCs w:val="24"/>
        </w:rPr>
        <w:t>c’est la subsistance</w:t>
      </w:r>
      <w:r w:rsidR="00845D0A">
        <w:rPr>
          <w:rStyle w:val="Appeldenotedefin"/>
          <w:rFonts w:ascii="Century Gothic" w:hAnsi="Century Gothic"/>
          <w:sz w:val="24"/>
          <w:szCs w:val="24"/>
        </w:rPr>
        <w:endnoteReference w:id="1"/>
      </w:r>
      <w:r w:rsidR="00845D0A">
        <w:rPr>
          <w:rFonts w:ascii="Century Gothic" w:hAnsi="Century Gothic"/>
          <w:sz w:val="24"/>
          <w:szCs w:val="24"/>
        </w:rPr>
        <w:t>).</w:t>
      </w:r>
    </w:p>
    <w:p w:rsidR="0012232B" w:rsidRDefault="00A939F0" w:rsidP="00A939F0">
      <w:pPr>
        <w:spacing w:after="0" w:line="240" w:lineRule="auto"/>
        <w:jc w:val="both"/>
        <w:rPr>
          <w:rFonts w:ascii="Century Gothic" w:hAnsi="Century Gothic"/>
          <w:bCs/>
          <w:sz w:val="24"/>
          <w:szCs w:val="24"/>
        </w:rPr>
      </w:pPr>
      <w:r w:rsidRPr="00404D36">
        <w:rPr>
          <w:rFonts w:ascii="Century Gothic" w:hAnsi="Century Gothic"/>
          <w:bCs/>
          <w:sz w:val="24"/>
          <w:szCs w:val="24"/>
        </w:rPr>
        <w:t xml:space="preserve">Cette notion de liquidation </w:t>
      </w:r>
      <w:r w:rsidRPr="00404D36">
        <w:rPr>
          <w:rFonts w:ascii="Century Gothic" w:hAnsi="Century Gothic"/>
          <w:bCs/>
          <w:i/>
          <w:iCs/>
          <w:sz w:val="24"/>
          <w:szCs w:val="24"/>
        </w:rPr>
        <w:t xml:space="preserve">à un moment donné </w:t>
      </w:r>
      <w:r w:rsidRPr="00404D36">
        <w:rPr>
          <w:rFonts w:ascii="Century Gothic" w:hAnsi="Century Gothic"/>
          <w:bCs/>
          <w:sz w:val="24"/>
          <w:szCs w:val="24"/>
        </w:rPr>
        <w:t>n’est pas exhaustive par rapport aux dépenses de l’organisme.</w:t>
      </w:r>
      <w:r w:rsidR="00A50ADC">
        <w:rPr>
          <w:rFonts w:ascii="Century Gothic" w:hAnsi="Century Gothic"/>
          <w:bCs/>
          <w:sz w:val="24"/>
          <w:szCs w:val="24"/>
        </w:rPr>
        <w:t xml:space="preserve"> </w:t>
      </w:r>
    </w:p>
    <w:p w:rsidR="0012232B" w:rsidRDefault="0012232B" w:rsidP="00A939F0">
      <w:pPr>
        <w:spacing w:after="0" w:line="240" w:lineRule="auto"/>
        <w:jc w:val="both"/>
        <w:rPr>
          <w:rFonts w:ascii="Century Gothic" w:hAnsi="Century Gothic"/>
          <w:bCs/>
          <w:sz w:val="24"/>
          <w:szCs w:val="24"/>
        </w:rPr>
      </w:pPr>
    </w:p>
    <w:p w:rsidR="00A939F0" w:rsidRPr="00A50ADC" w:rsidRDefault="00A50ADC" w:rsidP="00A939F0">
      <w:pPr>
        <w:spacing w:after="0" w:line="240" w:lineRule="auto"/>
        <w:jc w:val="both"/>
        <w:rPr>
          <w:rFonts w:ascii="Century Gothic" w:hAnsi="Century Gothic"/>
          <w:bCs/>
          <w:sz w:val="20"/>
          <w:szCs w:val="20"/>
        </w:rPr>
      </w:pPr>
      <w:r w:rsidRPr="00A50ADC">
        <w:rPr>
          <w:rFonts w:ascii="Century Gothic" w:hAnsi="Century Gothic"/>
          <w:bCs/>
          <w:i/>
          <w:sz w:val="20"/>
          <w:szCs w:val="20"/>
        </w:rPr>
        <w:t>Par exemple la CPAM des Pyrénées Orientales (661) saisit</w:t>
      </w:r>
      <w:r w:rsidR="0012232B">
        <w:rPr>
          <w:rFonts w:ascii="Century Gothic" w:hAnsi="Century Gothic"/>
          <w:bCs/>
          <w:i/>
          <w:sz w:val="20"/>
          <w:szCs w:val="20"/>
        </w:rPr>
        <w:t xml:space="preserve"> les remboursements du bénéficiaire </w:t>
      </w:r>
      <w:r w:rsidRPr="00A50ADC">
        <w:rPr>
          <w:rFonts w:ascii="Century Gothic" w:hAnsi="Century Gothic"/>
          <w:bCs/>
          <w:i/>
          <w:sz w:val="20"/>
          <w:szCs w:val="20"/>
        </w:rPr>
        <w:t>affilié chez elle car résidant dans le département 66.</w:t>
      </w:r>
      <w:r w:rsidR="0012232B">
        <w:rPr>
          <w:rFonts w:ascii="Century Gothic" w:hAnsi="Century Gothic"/>
          <w:bCs/>
          <w:i/>
          <w:sz w:val="20"/>
          <w:szCs w:val="20"/>
        </w:rPr>
        <w:t xml:space="preserve"> </w:t>
      </w:r>
      <w:r>
        <w:rPr>
          <w:rFonts w:ascii="Century Gothic" w:hAnsi="Century Gothic"/>
          <w:bCs/>
          <w:i/>
          <w:sz w:val="20"/>
          <w:szCs w:val="20"/>
        </w:rPr>
        <w:t>Elle saisit également dans le cas de la  subsistance les remboursements</w:t>
      </w:r>
      <w:r w:rsidR="0012232B">
        <w:rPr>
          <w:rFonts w:ascii="Century Gothic" w:hAnsi="Century Gothic"/>
          <w:bCs/>
          <w:i/>
          <w:sz w:val="20"/>
          <w:szCs w:val="20"/>
        </w:rPr>
        <w:t xml:space="preserve"> du bénéficiaire </w:t>
      </w:r>
      <w:r>
        <w:rPr>
          <w:rFonts w:ascii="Century Gothic" w:hAnsi="Century Gothic"/>
          <w:bCs/>
          <w:i/>
          <w:sz w:val="20"/>
          <w:szCs w:val="20"/>
        </w:rPr>
        <w:t>résidant à Paris, affilié à la CPAM de Paris, venu faire une cure thermale dans les Pyrénées.</w:t>
      </w:r>
      <w:r w:rsidR="0083174C">
        <w:rPr>
          <w:rFonts w:ascii="Century Gothic" w:hAnsi="Century Gothic"/>
          <w:bCs/>
          <w:i/>
          <w:sz w:val="20"/>
          <w:szCs w:val="20"/>
        </w:rPr>
        <w:t xml:space="preserve"> Mais c</w:t>
      </w:r>
      <w:bookmarkStart w:id="0" w:name="_GoBack"/>
      <w:bookmarkEnd w:id="0"/>
      <w:r w:rsidR="0083174C">
        <w:rPr>
          <w:rFonts w:ascii="Century Gothic" w:hAnsi="Century Gothic"/>
          <w:bCs/>
          <w:i/>
          <w:sz w:val="20"/>
          <w:szCs w:val="20"/>
        </w:rPr>
        <w:t>es dépenses doivent être imputées à la CPAM de Paris.</w:t>
      </w:r>
    </w:p>
    <w:p w:rsidR="00A939F0" w:rsidRPr="00404D36" w:rsidRDefault="00A939F0" w:rsidP="00A939F0">
      <w:pPr>
        <w:spacing w:after="0" w:line="240" w:lineRule="auto"/>
        <w:jc w:val="both"/>
        <w:rPr>
          <w:rFonts w:ascii="Century Gothic" w:hAnsi="Century Gothic"/>
          <w:bCs/>
          <w:sz w:val="24"/>
          <w:szCs w:val="24"/>
        </w:rPr>
      </w:pPr>
    </w:p>
    <w:p w:rsidR="0012232B" w:rsidRDefault="00A939F0" w:rsidP="0012232B">
      <w:pPr>
        <w:spacing w:after="0" w:line="240" w:lineRule="auto"/>
        <w:jc w:val="both"/>
        <w:rPr>
          <w:rFonts w:ascii="Century Gothic" w:hAnsi="Century Gothic"/>
          <w:bCs/>
          <w:i/>
          <w:sz w:val="20"/>
          <w:szCs w:val="20"/>
        </w:rPr>
      </w:pPr>
      <w:r w:rsidRPr="001B734D">
        <w:rPr>
          <w:rFonts w:ascii="Century Gothic" w:hAnsi="Century Gothic"/>
          <w:b/>
          <w:bCs/>
          <w:sz w:val="24"/>
          <w:szCs w:val="24"/>
        </w:rPr>
        <w:t>Organisme d’affiliation</w:t>
      </w:r>
      <w:r w:rsidRPr="00404D36">
        <w:rPr>
          <w:rFonts w:ascii="Century Gothic" w:hAnsi="Century Gothic"/>
          <w:b/>
          <w:bCs/>
          <w:sz w:val="24"/>
          <w:szCs w:val="24"/>
        </w:rPr>
        <w:t> </w:t>
      </w:r>
      <w:r w:rsidRPr="00A939F0">
        <w:rPr>
          <w:rFonts w:ascii="Century Gothic" w:hAnsi="Century Gothic"/>
          <w:b/>
          <w:bCs/>
          <w:sz w:val="24"/>
          <w:szCs w:val="24"/>
        </w:rPr>
        <w:t xml:space="preserve"> du bénéficiaire : </w:t>
      </w:r>
      <w:r w:rsidRPr="00404D36">
        <w:rPr>
          <w:rFonts w:ascii="Century Gothic" w:hAnsi="Century Gothic"/>
          <w:bCs/>
          <w:sz w:val="24"/>
          <w:szCs w:val="24"/>
        </w:rPr>
        <w:t xml:space="preserve">il s’agit de </w:t>
      </w:r>
      <w:r w:rsidRPr="0012232B">
        <w:rPr>
          <w:rFonts w:ascii="Century Gothic" w:hAnsi="Century Gothic"/>
          <w:b/>
          <w:bCs/>
          <w:sz w:val="24"/>
          <w:szCs w:val="24"/>
        </w:rPr>
        <w:t>l’organisme du lieu de résidence du bénéficiaire</w:t>
      </w:r>
      <w:r w:rsidRPr="00404D36">
        <w:rPr>
          <w:rFonts w:ascii="Century Gothic" w:hAnsi="Century Gothic"/>
          <w:bCs/>
          <w:sz w:val="24"/>
          <w:szCs w:val="24"/>
        </w:rPr>
        <w:t>. Et donc il s’agit des remboursements qui incomberont à cet organisme, même si  pour des raisons de subsistance la liquidation a été faite ailleurs</w:t>
      </w:r>
      <w:r w:rsidR="00845D0A">
        <w:rPr>
          <w:rStyle w:val="Appeldenotedefin"/>
          <w:rFonts w:ascii="Century Gothic" w:hAnsi="Century Gothic"/>
          <w:bCs/>
          <w:sz w:val="24"/>
          <w:szCs w:val="24"/>
        </w:rPr>
        <w:endnoteReference w:id="2"/>
      </w:r>
      <w:r w:rsidR="00845D0A">
        <w:rPr>
          <w:rFonts w:ascii="Century Gothic" w:hAnsi="Century Gothic"/>
          <w:bCs/>
          <w:sz w:val="24"/>
          <w:szCs w:val="24"/>
        </w:rPr>
        <w:t>.</w:t>
      </w:r>
      <w:r w:rsidRPr="00404D36">
        <w:rPr>
          <w:rFonts w:ascii="Century Gothic" w:hAnsi="Century Gothic"/>
          <w:bCs/>
          <w:sz w:val="24"/>
          <w:szCs w:val="24"/>
        </w:rPr>
        <w:t xml:space="preserve"> </w:t>
      </w:r>
      <w:r w:rsidR="0012232B" w:rsidRPr="00404D36">
        <w:rPr>
          <w:rFonts w:ascii="Century Gothic" w:hAnsi="Century Gothic"/>
          <w:bCs/>
          <w:sz w:val="24"/>
          <w:szCs w:val="24"/>
        </w:rPr>
        <w:t xml:space="preserve">Cette notion est exhaustive en termes de dépense de l’organisme </w:t>
      </w:r>
      <w:r w:rsidR="0012232B" w:rsidRPr="00404D36">
        <w:rPr>
          <w:rFonts w:ascii="Century Gothic" w:hAnsi="Century Gothic"/>
          <w:bCs/>
          <w:i/>
          <w:iCs/>
          <w:sz w:val="24"/>
          <w:szCs w:val="24"/>
        </w:rPr>
        <w:t>in fine.</w:t>
      </w:r>
    </w:p>
    <w:p w:rsidR="0012232B" w:rsidRDefault="0012232B" w:rsidP="0012232B">
      <w:pPr>
        <w:spacing w:after="0" w:line="240" w:lineRule="auto"/>
        <w:jc w:val="both"/>
        <w:rPr>
          <w:rFonts w:ascii="Century Gothic" w:hAnsi="Century Gothic"/>
          <w:bCs/>
          <w:i/>
          <w:sz w:val="20"/>
          <w:szCs w:val="20"/>
        </w:rPr>
      </w:pPr>
    </w:p>
    <w:p w:rsidR="0012232B" w:rsidRPr="0012232B" w:rsidRDefault="0012232B" w:rsidP="0012232B">
      <w:pPr>
        <w:spacing w:after="0" w:line="240" w:lineRule="auto"/>
        <w:jc w:val="both"/>
        <w:rPr>
          <w:rFonts w:ascii="Century Gothic" w:hAnsi="Century Gothic"/>
          <w:bCs/>
          <w:i/>
          <w:sz w:val="20"/>
          <w:szCs w:val="20"/>
        </w:rPr>
      </w:pPr>
      <w:r>
        <w:rPr>
          <w:rFonts w:ascii="Century Gothic" w:hAnsi="Century Gothic"/>
          <w:bCs/>
          <w:i/>
          <w:sz w:val="20"/>
          <w:szCs w:val="20"/>
        </w:rPr>
        <w:t>Par exemple, le bénéficiaire</w:t>
      </w:r>
      <w:r w:rsidRPr="0012232B">
        <w:rPr>
          <w:rFonts w:ascii="Century Gothic" w:hAnsi="Century Gothic"/>
          <w:bCs/>
          <w:i/>
          <w:sz w:val="20"/>
          <w:szCs w:val="20"/>
        </w:rPr>
        <w:t xml:space="preserve"> résidant à Paris venu faire une </w:t>
      </w:r>
      <w:r>
        <w:rPr>
          <w:rFonts w:ascii="Century Gothic" w:hAnsi="Century Gothic"/>
          <w:bCs/>
          <w:i/>
          <w:sz w:val="20"/>
          <w:szCs w:val="20"/>
        </w:rPr>
        <w:t>échographie</w:t>
      </w:r>
      <w:r w:rsidRPr="0012232B">
        <w:rPr>
          <w:rFonts w:ascii="Century Gothic" w:hAnsi="Century Gothic"/>
          <w:bCs/>
          <w:i/>
          <w:sz w:val="20"/>
          <w:szCs w:val="20"/>
        </w:rPr>
        <w:t xml:space="preserve"> à Marseille durant ses congés est affilié à la CPAM de Paris et remboursé par la CPAM de Paris.</w:t>
      </w:r>
      <w:r>
        <w:rPr>
          <w:rFonts w:ascii="Century Gothic" w:hAnsi="Century Gothic"/>
          <w:bCs/>
          <w:i/>
          <w:sz w:val="20"/>
          <w:szCs w:val="20"/>
        </w:rPr>
        <w:t xml:space="preserve"> Dans le cadre d’une subsistance, le bénéficiaire affilié à la CPAM 751 sera remboursé par la CPAM 661 où il réalise sa cure thermale, mais cette dernière se fera rembourser son paiement in fine par la CPAM de Paris dont relève le bénéficiaire.</w:t>
      </w:r>
    </w:p>
    <w:p w:rsidR="00A939F0" w:rsidRDefault="00A939F0" w:rsidP="00A939F0">
      <w:pPr>
        <w:spacing w:after="0" w:line="240" w:lineRule="auto"/>
        <w:jc w:val="both"/>
        <w:rPr>
          <w:rFonts w:ascii="Century Gothic" w:hAnsi="Century Gothic"/>
          <w:sz w:val="24"/>
          <w:szCs w:val="24"/>
        </w:rPr>
      </w:pPr>
    </w:p>
    <w:p w:rsidR="00E34133" w:rsidRPr="00A939F0" w:rsidRDefault="00E34133" w:rsidP="00A939F0">
      <w:pPr>
        <w:spacing w:after="0" w:line="240" w:lineRule="auto"/>
        <w:jc w:val="both"/>
        <w:rPr>
          <w:rFonts w:ascii="Century Gothic" w:hAnsi="Century Gothic"/>
          <w:sz w:val="24"/>
          <w:szCs w:val="24"/>
        </w:rPr>
      </w:pPr>
    </w:p>
    <w:p w:rsidR="0071290E" w:rsidRDefault="00E34133" w:rsidP="0071290E">
      <w:pPr>
        <w:spacing w:after="0" w:line="240" w:lineRule="auto"/>
        <w:jc w:val="both"/>
        <w:rPr>
          <w:rFonts w:ascii="Century Gothic" w:hAnsi="Century Gothic"/>
          <w:b/>
          <w:sz w:val="24"/>
          <w:szCs w:val="24"/>
          <w:u w:val="single"/>
        </w:rPr>
      </w:pPr>
      <w:r>
        <w:rPr>
          <w:rFonts w:ascii="Century Gothic" w:hAnsi="Century Gothic"/>
          <w:b/>
          <w:sz w:val="24"/>
          <w:szCs w:val="24"/>
          <w:u w:val="single"/>
        </w:rPr>
        <w:t xml:space="preserve">2 – </w:t>
      </w:r>
      <w:r w:rsidR="00A72BD1" w:rsidRPr="00A72BD1">
        <w:rPr>
          <w:rFonts w:ascii="Century Gothic" w:hAnsi="Century Gothic"/>
          <w:b/>
          <w:sz w:val="24"/>
          <w:szCs w:val="24"/>
          <w:u w:val="single"/>
        </w:rPr>
        <w:t>Les Notions de SLM</w:t>
      </w:r>
    </w:p>
    <w:p w:rsidR="00845D0A" w:rsidRPr="00A72BD1" w:rsidRDefault="00845D0A" w:rsidP="0071290E">
      <w:pPr>
        <w:spacing w:after="0" w:line="240" w:lineRule="auto"/>
        <w:jc w:val="both"/>
        <w:rPr>
          <w:rFonts w:ascii="Century Gothic" w:hAnsi="Century Gothic"/>
          <w:b/>
          <w:sz w:val="24"/>
          <w:szCs w:val="24"/>
          <w:u w:val="single"/>
        </w:rPr>
      </w:pPr>
    </w:p>
    <w:p w:rsidR="00A72BD1" w:rsidRPr="0071290E" w:rsidRDefault="00A72BD1" w:rsidP="0071290E">
      <w:pPr>
        <w:spacing w:after="0" w:line="240" w:lineRule="auto"/>
        <w:jc w:val="both"/>
        <w:rPr>
          <w:rFonts w:ascii="Century Gothic" w:hAnsi="Century Gothic"/>
          <w:sz w:val="24"/>
          <w:szCs w:val="24"/>
        </w:rPr>
      </w:pPr>
    </w:p>
    <w:p w:rsidR="00D56806" w:rsidRDefault="00E34133" w:rsidP="00730715">
      <w:pPr>
        <w:jc w:val="both"/>
        <w:rPr>
          <w:rFonts w:ascii="Century Gothic" w:hAnsi="Century Gothic"/>
          <w:sz w:val="20"/>
          <w:szCs w:val="20"/>
        </w:rPr>
      </w:pPr>
      <w:r>
        <w:rPr>
          <w:rFonts w:ascii="Century Gothic" w:hAnsi="Century Gothic"/>
          <w:b/>
          <w:sz w:val="24"/>
          <w:szCs w:val="24"/>
          <w:u w:val="single"/>
        </w:rPr>
        <w:t>2.</w:t>
      </w:r>
      <w:r w:rsidR="00730715" w:rsidRPr="003E7A24">
        <w:rPr>
          <w:rFonts w:ascii="Century Gothic" w:hAnsi="Century Gothic"/>
          <w:b/>
          <w:sz w:val="24"/>
          <w:szCs w:val="24"/>
          <w:u w:val="single"/>
        </w:rPr>
        <w:t xml:space="preserve">1 </w:t>
      </w:r>
      <w:r w:rsidR="00DA5437">
        <w:rPr>
          <w:rFonts w:ascii="Century Gothic" w:hAnsi="Century Gothic"/>
          <w:b/>
          <w:sz w:val="24"/>
          <w:szCs w:val="24"/>
          <w:u w:val="single"/>
        </w:rPr>
        <w:t>–</w:t>
      </w:r>
      <w:r w:rsidR="00730715" w:rsidRPr="003E7A24">
        <w:rPr>
          <w:rFonts w:ascii="Century Gothic" w:hAnsi="Century Gothic"/>
          <w:b/>
          <w:sz w:val="24"/>
          <w:szCs w:val="24"/>
          <w:u w:val="single"/>
        </w:rPr>
        <w:t xml:space="preserve"> </w:t>
      </w:r>
      <w:r w:rsidR="00F27BC5" w:rsidRPr="003E7A24">
        <w:rPr>
          <w:rFonts w:ascii="Century Gothic" w:hAnsi="Century Gothic"/>
          <w:b/>
          <w:sz w:val="24"/>
          <w:szCs w:val="24"/>
          <w:u w:val="single"/>
        </w:rPr>
        <w:t>SLM « classique »</w:t>
      </w:r>
      <w:r w:rsidR="00730715">
        <w:rPr>
          <w:rFonts w:ascii="Century Gothic" w:hAnsi="Century Gothic"/>
          <w:sz w:val="24"/>
          <w:szCs w:val="24"/>
        </w:rPr>
        <w:t xml:space="preserve"> : </w:t>
      </w:r>
      <w:r w:rsidR="003E7A24">
        <w:rPr>
          <w:rFonts w:ascii="Century Gothic" w:hAnsi="Century Gothic"/>
          <w:sz w:val="24"/>
          <w:szCs w:val="24"/>
        </w:rPr>
        <w:t>mutuelle qui</w:t>
      </w:r>
      <w:r w:rsidR="00F27BC5" w:rsidRPr="00730715">
        <w:rPr>
          <w:rFonts w:ascii="Century Gothic" w:hAnsi="Century Gothic"/>
          <w:sz w:val="24"/>
          <w:szCs w:val="24"/>
        </w:rPr>
        <w:t xml:space="preserve"> gère la part obligatoire du R</w:t>
      </w:r>
      <w:r w:rsidR="00730715">
        <w:rPr>
          <w:rFonts w:ascii="Century Gothic" w:hAnsi="Century Gothic"/>
          <w:sz w:val="24"/>
          <w:szCs w:val="24"/>
        </w:rPr>
        <w:t xml:space="preserve">égime </w:t>
      </w:r>
      <w:r w:rsidR="00F27BC5" w:rsidRPr="00730715">
        <w:rPr>
          <w:rFonts w:ascii="Century Gothic" w:hAnsi="Century Gothic"/>
          <w:sz w:val="24"/>
          <w:szCs w:val="24"/>
        </w:rPr>
        <w:t>G</w:t>
      </w:r>
      <w:r w:rsidR="00730715">
        <w:rPr>
          <w:rFonts w:ascii="Century Gothic" w:hAnsi="Century Gothic"/>
          <w:sz w:val="24"/>
          <w:szCs w:val="24"/>
        </w:rPr>
        <w:t>énéral</w:t>
      </w:r>
      <w:r w:rsidR="00F27BC5" w:rsidRPr="00730715">
        <w:rPr>
          <w:rFonts w:ascii="Century Gothic" w:hAnsi="Century Gothic"/>
          <w:sz w:val="24"/>
          <w:szCs w:val="24"/>
        </w:rPr>
        <w:t xml:space="preserve">, </w:t>
      </w:r>
      <w:r w:rsidR="00F27BC5" w:rsidRPr="00404D36">
        <w:rPr>
          <w:rFonts w:ascii="Century Gothic" w:hAnsi="Century Gothic"/>
          <w:sz w:val="24"/>
          <w:szCs w:val="24"/>
        </w:rPr>
        <w:t>financière et administrative</w:t>
      </w:r>
      <w:r w:rsidR="00730715">
        <w:rPr>
          <w:rFonts w:ascii="Century Gothic" w:hAnsi="Century Gothic"/>
          <w:sz w:val="24"/>
          <w:szCs w:val="24"/>
        </w:rPr>
        <w:t xml:space="preserve">, </w:t>
      </w:r>
      <w:r w:rsidR="00F27BC5" w:rsidRPr="00730715">
        <w:rPr>
          <w:rFonts w:ascii="Century Gothic" w:hAnsi="Century Gothic"/>
          <w:sz w:val="24"/>
          <w:szCs w:val="24"/>
        </w:rPr>
        <w:t xml:space="preserve">à la place de la CPAM d’affiliation </w:t>
      </w:r>
      <w:r w:rsidR="00730715">
        <w:rPr>
          <w:rFonts w:ascii="Century Gothic" w:hAnsi="Century Gothic"/>
          <w:sz w:val="24"/>
          <w:szCs w:val="24"/>
        </w:rPr>
        <w:t xml:space="preserve">xxx </w:t>
      </w:r>
      <w:r w:rsidR="00F27BC5" w:rsidRPr="00730715">
        <w:rPr>
          <w:rFonts w:ascii="Century Gothic" w:hAnsi="Century Gothic"/>
          <w:sz w:val="24"/>
          <w:szCs w:val="24"/>
        </w:rPr>
        <w:t xml:space="preserve">du bénéficiaire </w:t>
      </w:r>
      <w:r w:rsidR="003E7A24">
        <w:rPr>
          <w:rFonts w:ascii="Century Gothic" w:hAnsi="Century Gothic"/>
          <w:b/>
          <w:sz w:val="24"/>
          <w:szCs w:val="24"/>
        </w:rPr>
        <w:t>[</w:t>
      </w:r>
      <w:r w:rsidR="00F27BC5" w:rsidRPr="003E7A24">
        <w:rPr>
          <w:rFonts w:ascii="Century Gothic" w:hAnsi="Century Gothic"/>
          <w:b/>
          <w:sz w:val="24"/>
          <w:szCs w:val="24"/>
        </w:rPr>
        <w:t>organisme de liquidation et d’affiliation en 01M</w:t>
      </w:r>
      <w:r w:rsidR="003E7A24">
        <w:rPr>
          <w:rFonts w:ascii="Century Gothic" w:hAnsi="Century Gothic"/>
          <w:b/>
          <w:sz w:val="24"/>
          <w:szCs w:val="24"/>
        </w:rPr>
        <w:t>]</w:t>
      </w:r>
      <w:r w:rsidR="00F27BC5" w:rsidRPr="003E7A24">
        <w:rPr>
          <w:rFonts w:ascii="Century Gothic" w:hAnsi="Century Gothic"/>
          <w:b/>
          <w:sz w:val="24"/>
          <w:szCs w:val="24"/>
        </w:rPr>
        <w:t xml:space="preserve"> </w:t>
      </w:r>
      <w:r w:rsidR="00F27BC5" w:rsidRPr="00730715">
        <w:rPr>
          <w:rFonts w:ascii="Century Gothic" w:hAnsi="Century Gothic"/>
          <w:sz w:val="24"/>
          <w:szCs w:val="24"/>
        </w:rPr>
        <w:t xml:space="preserve">; en général elle assure aussi la </w:t>
      </w:r>
      <w:r w:rsidR="00555678">
        <w:rPr>
          <w:rFonts w:ascii="Century Gothic" w:hAnsi="Century Gothic"/>
          <w:sz w:val="24"/>
          <w:szCs w:val="24"/>
        </w:rPr>
        <w:t xml:space="preserve">gestion de la </w:t>
      </w:r>
      <w:r w:rsidR="00F27BC5" w:rsidRPr="00730715">
        <w:rPr>
          <w:rFonts w:ascii="Century Gothic" w:hAnsi="Century Gothic"/>
          <w:sz w:val="24"/>
          <w:szCs w:val="24"/>
        </w:rPr>
        <w:t xml:space="preserve">part </w:t>
      </w:r>
      <w:r w:rsidR="00DA5437">
        <w:rPr>
          <w:rFonts w:ascii="Century Gothic" w:hAnsi="Century Gothic"/>
          <w:sz w:val="24"/>
          <w:szCs w:val="24"/>
        </w:rPr>
        <w:t xml:space="preserve">mutuelle </w:t>
      </w:r>
      <w:r w:rsidR="00F27BC5" w:rsidRPr="00730715">
        <w:rPr>
          <w:rFonts w:ascii="Century Gothic" w:hAnsi="Century Gothic"/>
          <w:sz w:val="24"/>
          <w:szCs w:val="24"/>
        </w:rPr>
        <w:t>c</w:t>
      </w:r>
      <w:r w:rsidR="00730715">
        <w:rPr>
          <w:rFonts w:ascii="Century Gothic" w:hAnsi="Century Gothic"/>
          <w:sz w:val="24"/>
          <w:szCs w:val="24"/>
        </w:rPr>
        <w:t xml:space="preserve">omplémentaire du bénéficiaire. </w:t>
      </w:r>
    </w:p>
    <w:p w:rsidR="003E7A24" w:rsidRPr="00D56806" w:rsidRDefault="00D56806" w:rsidP="00730715">
      <w:pPr>
        <w:jc w:val="both"/>
        <w:rPr>
          <w:rFonts w:ascii="Century Gothic" w:hAnsi="Century Gothic"/>
          <w:sz w:val="20"/>
          <w:szCs w:val="20"/>
        </w:rPr>
      </w:pPr>
      <w:r>
        <w:rPr>
          <w:rFonts w:ascii="Century Gothic" w:hAnsi="Century Gothic"/>
          <w:sz w:val="20"/>
          <w:szCs w:val="20"/>
        </w:rPr>
        <w:t>Remarque : c</w:t>
      </w:r>
      <w:r w:rsidRPr="00D56806">
        <w:rPr>
          <w:rFonts w:ascii="Century Gothic" w:hAnsi="Century Gothic"/>
          <w:sz w:val="20"/>
          <w:szCs w:val="20"/>
        </w:rPr>
        <w:t xml:space="preserve">ette SLM </w:t>
      </w:r>
      <w:r>
        <w:rPr>
          <w:rFonts w:ascii="Century Gothic" w:hAnsi="Century Gothic"/>
          <w:sz w:val="20"/>
          <w:szCs w:val="20"/>
        </w:rPr>
        <w:t xml:space="preserve">classique </w:t>
      </w:r>
      <w:r w:rsidRPr="00D56806">
        <w:rPr>
          <w:rFonts w:ascii="Century Gothic" w:hAnsi="Century Gothic"/>
          <w:sz w:val="20"/>
          <w:szCs w:val="20"/>
        </w:rPr>
        <w:t>adresse au SNDS des données en norme NOEMI</w:t>
      </w:r>
      <w:r w:rsidR="00137D9F">
        <w:rPr>
          <w:rFonts w:ascii="Century Gothic" w:hAnsi="Century Gothic"/>
          <w:sz w:val="20"/>
          <w:szCs w:val="20"/>
        </w:rPr>
        <w:t>E</w:t>
      </w:r>
      <w:r>
        <w:rPr>
          <w:rFonts w:ascii="Century Gothic" w:hAnsi="Century Gothic"/>
          <w:sz w:val="20"/>
          <w:szCs w:val="20"/>
        </w:rPr>
        <w:t xml:space="preserve"> </w:t>
      </w:r>
      <w:r w:rsidRPr="00D56806">
        <w:rPr>
          <w:rFonts w:ascii="Century Gothic" w:hAnsi="Century Gothic"/>
          <w:sz w:val="20"/>
          <w:szCs w:val="20"/>
        </w:rPr>
        <w:t>303.</w:t>
      </w:r>
    </w:p>
    <w:p w:rsidR="00F27BC5" w:rsidRPr="00EC5619" w:rsidRDefault="00730715" w:rsidP="00730715">
      <w:pPr>
        <w:jc w:val="both"/>
        <w:rPr>
          <w:rFonts w:ascii="Century Gothic" w:hAnsi="Century Gothic"/>
          <w:i/>
          <w:sz w:val="24"/>
          <w:szCs w:val="24"/>
        </w:rPr>
      </w:pPr>
      <w:r w:rsidRPr="00EC5619">
        <w:rPr>
          <w:rFonts w:ascii="Century Gothic" w:hAnsi="Century Gothic"/>
          <w:i/>
          <w:sz w:val="24"/>
          <w:szCs w:val="24"/>
        </w:rPr>
        <w:t xml:space="preserve">Par exemple, la </w:t>
      </w:r>
      <w:r w:rsidR="00F27BC5" w:rsidRPr="00EC5619">
        <w:rPr>
          <w:rFonts w:ascii="Century Gothic" w:hAnsi="Century Gothic"/>
          <w:i/>
          <w:sz w:val="24"/>
          <w:szCs w:val="24"/>
        </w:rPr>
        <w:t>MGEN</w:t>
      </w:r>
      <w:r w:rsidRPr="00EC5619">
        <w:rPr>
          <w:rFonts w:ascii="Century Gothic" w:hAnsi="Century Gothic"/>
          <w:i/>
          <w:sz w:val="24"/>
          <w:szCs w:val="24"/>
        </w:rPr>
        <w:t xml:space="preserve"> -</w:t>
      </w:r>
      <w:r w:rsidR="00555678">
        <w:rPr>
          <w:rFonts w:ascii="Century Gothic" w:hAnsi="Century Gothic"/>
          <w:i/>
          <w:sz w:val="24"/>
          <w:szCs w:val="24"/>
        </w:rPr>
        <w:t xml:space="preserve"> </w:t>
      </w:r>
      <w:r w:rsidRPr="00EC5619">
        <w:rPr>
          <w:rFonts w:ascii="Century Gothic" w:hAnsi="Century Gothic"/>
          <w:i/>
          <w:sz w:val="24"/>
          <w:szCs w:val="24"/>
        </w:rPr>
        <w:t xml:space="preserve">mutuelle </w:t>
      </w:r>
      <w:r w:rsidR="00555678">
        <w:rPr>
          <w:rFonts w:ascii="Century Gothic" w:hAnsi="Century Gothic"/>
          <w:i/>
          <w:sz w:val="24"/>
          <w:szCs w:val="24"/>
        </w:rPr>
        <w:t xml:space="preserve">générale </w:t>
      </w:r>
      <w:r w:rsidRPr="00EC5619">
        <w:rPr>
          <w:rFonts w:ascii="Century Gothic" w:hAnsi="Century Gothic"/>
          <w:i/>
          <w:sz w:val="24"/>
          <w:szCs w:val="24"/>
        </w:rPr>
        <w:t xml:space="preserve">de l’éducation nationale </w:t>
      </w:r>
      <w:r w:rsidR="003E7A24" w:rsidRPr="00EC5619">
        <w:rPr>
          <w:rFonts w:ascii="Century Gothic" w:hAnsi="Century Gothic"/>
          <w:i/>
          <w:sz w:val="24"/>
          <w:szCs w:val="24"/>
        </w:rPr>
        <w:t>NUM 501</w:t>
      </w:r>
      <w:r w:rsidR="00555678">
        <w:rPr>
          <w:rFonts w:ascii="Century Gothic" w:hAnsi="Century Gothic"/>
          <w:i/>
          <w:sz w:val="24"/>
          <w:szCs w:val="24"/>
        </w:rPr>
        <w:t xml:space="preserve">et 506 </w:t>
      </w:r>
      <w:r w:rsidRPr="00EC5619">
        <w:rPr>
          <w:rFonts w:ascii="Century Gothic" w:hAnsi="Century Gothic"/>
          <w:i/>
          <w:sz w:val="24"/>
          <w:szCs w:val="24"/>
        </w:rPr>
        <w:t xml:space="preserve">-  propose </w:t>
      </w:r>
      <w:r w:rsidR="00555678">
        <w:rPr>
          <w:rFonts w:ascii="Century Gothic" w:hAnsi="Century Gothic"/>
          <w:i/>
          <w:sz w:val="24"/>
          <w:szCs w:val="24"/>
        </w:rPr>
        <w:t xml:space="preserve">au personnel de l’Education nationale </w:t>
      </w:r>
      <w:r w:rsidRPr="00EC5619">
        <w:rPr>
          <w:rFonts w:ascii="Century Gothic" w:hAnsi="Century Gothic"/>
          <w:i/>
          <w:sz w:val="24"/>
          <w:szCs w:val="24"/>
        </w:rPr>
        <w:t xml:space="preserve">de gérer la part administrative et financière de leurs remboursements de soins </w:t>
      </w:r>
      <w:r w:rsidR="00555678">
        <w:rPr>
          <w:rFonts w:ascii="Century Gothic" w:hAnsi="Century Gothic"/>
          <w:i/>
          <w:sz w:val="24"/>
          <w:szCs w:val="24"/>
        </w:rPr>
        <w:t xml:space="preserve">pour la part obligatoire </w:t>
      </w:r>
      <w:r w:rsidR="00DA5437">
        <w:rPr>
          <w:rFonts w:ascii="Century Gothic" w:hAnsi="Century Gothic"/>
          <w:i/>
          <w:sz w:val="24"/>
          <w:szCs w:val="24"/>
        </w:rPr>
        <w:t>de</w:t>
      </w:r>
      <w:r w:rsidRPr="00EC5619">
        <w:rPr>
          <w:rFonts w:ascii="Century Gothic" w:hAnsi="Century Gothic"/>
          <w:i/>
          <w:sz w:val="24"/>
          <w:szCs w:val="24"/>
        </w:rPr>
        <w:t xml:space="preserve"> la sécurité sociale</w:t>
      </w:r>
      <w:r w:rsidR="00555678">
        <w:rPr>
          <w:rFonts w:ascii="Century Gothic" w:hAnsi="Century Gothic"/>
          <w:i/>
          <w:sz w:val="24"/>
          <w:szCs w:val="24"/>
        </w:rPr>
        <w:t>,</w:t>
      </w:r>
      <w:r w:rsidRPr="00EC5619">
        <w:rPr>
          <w:rFonts w:ascii="Century Gothic" w:hAnsi="Century Gothic"/>
          <w:i/>
          <w:sz w:val="24"/>
          <w:szCs w:val="24"/>
        </w:rPr>
        <w:t xml:space="preserve"> </w:t>
      </w:r>
      <w:r w:rsidR="00DA5437">
        <w:rPr>
          <w:rFonts w:ascii="Century Gothic" w:hAnsi="Century Gothic"/>
          <w:i/>
          <w:sz w:val="24"/>
          <w:szCs w:val="24"/>
        </w:rPr>
        <w:t xml:space="preserve">en même temps que le remboursement </w:t>
      </w:r>
      <w:r w:rsidRPr="00EC5619">
        <w:rPr>
          <w:rFonts w:ascii="Century Gothic" w:hAnsi="Century Gothic"/>
          <w:i/>
          <w:sz w:val="24"/>
          <w:szCs w:val="24"/>
        </w:rPr>
        <w:t>de la mutuelle complémentaire</w:t>
      </w:r>
      <w:r w:rsidR="003E7A24" w:rsidRPr="00EC5619">
        <w:rPr>
          <w:rFonts w:ascii="Century Gothic" w:hAnsi="Century Gothic"/>
          <w:i/>
          <w:sz w:val="24"/>
          <w:szCs w:val="24"/>
        </w:rPr>
        <w:t xml:space="preserve"> </w:t>
      </w:r>
      <w:r w:rsidR="00DA5437">
        <w:rPr>
          <w:rFonts w:ascii="Century Gothic" w:hAnsi="Century Gothic"/>
          <w:i/>
          <w:sz w:val="24"/>
          <w:szCs w:val="24"/>
        </w:rPr>
        <w:t xml:space="preserve">MGEN </w:t>
      </w:r>
      <w:r w:rsidR="003E7A24" w:rsidRPr="00EC5619">
        <w:rPr>
          <w:rFonts w:ascii="Century Gothic" w:hAnsi="Century Gothic"/>
          <w:i/>
          <w:sz w:val="24"/>
          <w:szCs w:val="24"/>
        </w:rPr>
        <w:t>qu’ils ont souscrite</w:t>
      </w:r>
      <w:r w:rsidRPr="00EC5619">
        <w:rPr>
          <w:rFonts w:ascii="Century Gothic" w:hAnsi="Century Gothic"/>
          <w:i/>
          <w:sz w:val="24"/>
          <w:szCs w:val="24"/>
        </w:rPr>
        <w:t>.</w:t>
      </w:r>
    </w:p>
    <w:tbl>
      <w:tblPr>
        <w:tblW w:w="0" w:type="auto"/>
        <w:tblBorders>
          <w:top w:val="single" w:sz="8" w:space="0" w:color="4F81BD"/>
          <w:bottom w:val="single" w:sz="8" w:space="0" w:color="4F81BD"/>
        </w:tblBorders>
        <w:tblLook w:val="04A0" w:firstRow="1" w:lastRow="0" w:firstColumn="1" w:lastColumn="0" w:noHBand="0" w:noVBand="1"/>
      </w:tblPr>
      <w:tblGrid>
        <w:gridCol w:w="4606"/>
        <w:gridCol w:w="4606"/>
      </w:tblGrid>
      <w:tr w:rsidR="005B54C3" w:rsidTr="005B54C3">
        <w:tc>
          <w:tcPr>
            <w:tcW w:w="4606" w:type="dxa"/>
            <w:tcBorders>
              <w:top w:val="single" w:sz="8" w:space="0" w:color="4F81BD"/>
              <w:bottom w:val="single" w:sz="8" w:space="0" w:color="4F81BD"/>
            </w:tcBorders>
            <w:shd w:val="clear" w:color="auto" w:fill="auto"/>
          </w:tcPr>
          <w:p w:rsidR="000B50DA" w:rsidRPr="005B54C3" w:rsidRDefault="000B50DA" w:rsidP="00F27BC5">
            <w:pPr>
              <w:rPr>
                <w:b/>
                <w:bCs/>
                <w:color w:val="365F91"/>
              </w:rPr>
            </w:pPr>
            <w:r w:rsidRPr="005B54C3">
              <w:rPr>
                <w:b/>
                <w:bCs/>
                <w:color w:val="365F91"/>
              </w:rPr>
              <w:t>SLM Classique</w:t>
            </w:r>
          </w:p>
        </w:tc>
        <w:tc>
          <w:tcPr>
            <w:tcW w:w="4606" w:type="dxa"/>
            <w:tcBorders>
              <w:top w:val="single" w:sz="8" w:space="0" w:color="4F81BD"/>
              <w:bottom w:val="single" w:sz="8" w:space="0" w:color="4F81BD"/>
            </w:tcBorders>
            <w:shd w:val="clear" w:color="auto" w:fill="auto"/>
          </w:tcPr>
          <w:p w:rsidR="00DA5437" w:rsidRPr="005B54C3" w:rsidRDefault="00DA5437" w:rsidP="005B54C3">
            <w:pPr>
              <w:spacing w:after="0"/>
              <w:contextualSpacing/>
              <w:rPr>
                <w:b/>
                <w:bCs/>
                <w:color w:val="365F91"/>
              </w:rPr>
            </w:pPr>
            <w:r w:rsidRPr="005B54C3">
              <w:rPr>
                <w:b/>
                <w:bCs/>
                <w:color w:val="365F91"/>
              </w:rPr>
              <w:t xml:space="preserve">Cas général          </w:t>
            </w:r>
            <w:r w:rsidR="0020525E">
              <w:rPr>
                <w:b/>
                <w:bCs/>
                <w:color w:val="365F91"/>
              </w:rPr>
              <w:t xml:space="preserve"> </w:t>
            </w:r>
            <w:r w:rsidRPr="005B54C3">
              <w:rPr>
                <w:b/>
                <w:bCs/>
                <w:color w:val="365F91"/>
              </w:rPr>
              <w:t xml:space="preserve">Exemple MGEN d’un     </w:t>
            </w:r>
          </w:p>
          <w:p w:rsidR="000B50DA" w:rsidRPr="005B54C3" w:rsidRDefault="00DA5437" w:rsidP="005B54C3">
            <w:pPr>
              <w:spacing w:after="0"/>
              <w:contextualSpacing/>
              <w:rPr>
                <w:b/>
                <w:bCs/>
                <w:color w:val="365F91"/>
              </w:rPr>
            </w:pPr>
            <w:r w:rsidRPr="005B54C3">
              <w:rPr>
                <w:b/>
                <w:bCs/>
                <w:color w:val="365F91"/>
              </w:rPr>
              <w:t xml:space="preserve">                               bénéficiaire affilié à Paris</w:t>
            </w:r>
          </w:p>
        </w:tc>
      </w:tr>
      <w:tr w:rsidR="005B54C3" w:rsidTr="005B54C3">
        <w:tc>
          <w:tcPr>
            <w:tcW w:w="4606" w:type="dxa"/>
            <w:shd w:val="clear" w:color="auto" w:fill="D3DFEE"/>
          </w:tcPr>
          <w:p w:rsidR="000B50DA" w:rsidRPr="005B54C3" w:rsidRDefault="000B50DA" w:rsidP="00F27BC5">
            <w:pPr>
              <w:rPr>
                <w:b/>
                <w:bCs/>
                <w:color w:val="365F91"/>
              </w:rPr>
            </w:pPr>
            <w:r w:rsidRPr="005B54C3">
              <w:rPr>
                <w:b/>
                <w:bCs/>
                <w:color w:val="365F91"/>
              </w:rPr>
              <w:t>Organisme de liquidation</w:t>
            </w:r>
          </w:p>
          <w:p w:rsidR="000B50DA" w:rsidRPr="005B54C3" w:rsidRDefault="000B50DA" w:rsidP="00F27BC5">
            <w:pPr>
              <w:rPr>
                <w:b/>
                <w:bCs/>
                <w:color w:val="365F91"/>
              </w:rPr>
            </w:pPr>
            <w:r w:rsidRPr="005B54C3">
              <w:rPr>
                <w:b/>
                <w:bCs/>
                <w:color w:val="365F91"/>
              </w:rPr>
              <w:t>Organisme d’affiliation</w:t>
            </w:r>
          </w:p>
        </w:tc>
        <w:tc>
          <w:tcPr>
            <w:tcW w:w="4606" w:type="dxa"/>
            <w:tcBorders>
              <w:left w:val="nil"/>
              <w:right w:val="nil"/>
            </w:tcBorders>
            <w:shd w:val="clear" w:color="auto" w:fill="D3DFEE"/>
          </w:tcPr>
          <w:p w:rsidR="000B50DA" w:rsidRPr="005B54C3" w:rsidRDefault="00730715" w:rsidP="00F27BC5">
            <w:pPr>
              <w:rPr>
                <w:color w:val="365F91"/>
              </w:rPr>
            </w:pPr>
            <w:r w:rsidRPr="005B54C3">
              <w:rPr>
                <w:b/>
                <w:color w:val="365F91"/>
              </w:rPr>
              <w:t>01M</w:t>
            </w:r>
            <w:r w:rsidRPr="005B54C3">
              <w:rPr>
                <w:color w:val="365F91"/>
              </w:rPr>
              <w:t xml:space="preserve">xxxNUM   </w:t>
            </w:r>
            <w:r w:rsidR="00DA5437" w:rsidRPr="005B54C3">
              <w:rPr>
                <w:color w:val="365F91"/>
              </w:rPr>
              <w:t xml:space="preserve">    </w:t>
            </w:r>
            <w:r w:rsidRPr="005B54C3">
              <w:rPr>
                <w:color w:val="365F91"/>
              </w:rPr>
              <w:t xml:space="preserve"> </w:t>
            </w:r>
            <w:r w:rsidR="00845D0A">
              <w:rPr>
                <w:color w:val="365F91"/>
              </w:rPr>
              <w:t xml:space="preserve">  </w:t>
            </w:r>
            <w:r w:rsidRPr="005B54C3">
              <w:rPr>
                <w:color w:val="365F91"/>
              </w:rPr>
              <w:t xml:space="preserve">   01M751</w:t>
            </w:r>
            <w:r w:rsidR="003E7A24" w:rsidRPr="005B54C3">
              <w:rPr>
                <w:color w:val="365F91"/>
              </w:rPr>
              <w:t>501</w:t>
            </w:r>
          </w:p>
          <w:p w:rsidR="000B50DA" w:rsidRPr="005B54C3" w:rsidRDefault="00730715" w:rsidP="00F27BC5">
            <w:pPr>
              <w:rPr>
                <w:color w:val="365F91"/>
              </w:rPr>
            </w:pPr>
            <w:r w:rsidRPr="005B54C3">
              <w:rPr>
                <w:b/>
                <w:color w:val="365F91"/>
              </w:rPr>
              <w:t>01M</w:t>
            </w:r>
            <w:r w:rsidRPr="005B54C3">
              <w:rPr>
                <w:color w:val="365F91"/>
              </w:rPr>
              <w:t xml:space="preserve">xxxNUM     </w:t>
            </w:r>
            <w:r w:rsidR="00DA5437" w:rsidRPr="005B54C3">
              <w:rPr>
                <w:color w:val="365F91"/>
              </w:rPr>
              <w:t xml:space="preserve">    </w:t>
            </w:r>
            <w:r w:rsidR="00845D0A">
              <w:rPr>
                <w:color w:val="365F91"/>
              </w:rPr>
              <w:t xml:space="preserve">  </w:t>
            </w:r>
            <w:r w:rsidR="00DA5437" w:rsidRPr="005B54C3">
              <w:rPr>
                <w:color w:val="365F91"/>
              </w:rPr>
              <w:t xml:space="preserve"> </w:t>
            </w:r>
            <w:r w:rsidRPr="005B54C3">
              <w:rPr>
                <w:color w:val="365F91"/>
              </w:rPr>
              <w:t xml:space="preserve"> 01M751</w:t>
            </w:r>
            <w:r w:rsidR="003E7A24" w:rsidRPr="005B54C3">
              <w:rPr>
                <w:color w:val="365F91"/>
              </w:rPr>
              <w:t>501</w:t>
            </w:r>
          </w:p>
        </w:tc>
      </w:tr>
    </w:tbl>
    <w:p w:rsidR="00555678" w:rsidRDefault="00555678" w:rsidP="003E7A24">
      <w:pPr>
        <w:jc w:val="both"/>
        <w:rPr>
          <w:rFonts w:ascii="Century Gothic" w:hAnsi="Century Gothic"/>
          <w:b/>
          <w:sz w:val="24"/>
          <w:szCs w:val="24"/>
          <w:u w:val="single"/>
        </w:rPr>
      </w:pPr>
    </w:p>
    <w:p w:rsidR="00845D0A" w:rsidRDefault="00845D0A" w:rsidP="003E7A24">
      <w:pPr>
        <w:jc w:val="both"/>
        <w:rPr>
          <w:rFonts w:ascii="Century Gothic" w:hAnsi="Century Gothic"/>
          <w:b/>
          <w:sz w:val="24"/>
          <w:szCs w:val="24"/>
          <w:u w:val="single"/>
        </w:rPr>
      </w:pPr>
    </w:p>
    <w:p w:rsidR="003E7A24" w:rsidRDefault="00E34133" w:rsidP="003E7A24">
      <w:pPr>
        <w:jc w:val="both"/>
        <w:rPr>
          <w:rFonts w:ascii="Century Gothic" w:hAnsi="Century Gothic"/>
          <w:b/>
          <w:sz w:val="24"/>
          <w:szCs w:val="24"/>
        </w:rPr>
      </w:pPr>
      <w:r>
        <w:rPr>
          <w:rFonts w:ascii="Century Gothic" w:hAnsi="Century Gothic"/>
          <w:b/>
          <w:sz w:val="24"/>
          <w:szCs w:val="24"/>
          <w:u w:val="single"/>
        </w:rPr>
        <w:lastRenderedPageBreak/>
        <w:t>2.</w:t>
      </w:r>
      <w:r w:rsidR="00DA5437" w:rsidRPr="00DA5437">
        <w:rPr>
          <w:rFonts w:ascii="Century Gothic" w:hAnsi="Century Gothic"/>
          <w:b/>
          <w:sz w:val="24"/>
          <w:szCs w:val="24"/>
          <w:u w:val="single"/>
        </w:rPr>
        <w:t xml:space="preserve">2 –  </w:t>
      </w:r>
      <w:r w:rsidR="00F27BC5" w:rsidRPr="00DA5437">
        <w:rPr>
          <w:rFonts w:ascii="Century Gothic" w:hAnsi="Century Gothic"/>
          <w:b/>
          <w:sz w:val="24"/>
          <w:szCs w:val="24"/>
          <w:u w:val="single"/>
        </w:rPr>
        <w:t>SLM  « </w:t>
      </w:r>
      <w:proofErr w:type="spellStart"/>
      <w:r w:rsidR="00F27BC5" w:rsidRPr="00DA5437">
        <w:rPr>
          <w:rFonts w:ascii="Century Gothic" w:hAnsi="Century Gothic"/>
          <w:b/>
          <w:sz w:val="24"/>
          <w:szCs w:val="24"/>
          <w:u w:val="single"/>
        </w:rPr>
        <w:t>infogérée</w:t>
      </w:r>
      <w:proofErr w:type="spellEnd"/>
      <w:r w:rsidR="00F27BC5" w:rsidRPr="00DA5437">
        <w:rPr>
          <w:rFonts w:ascii="Century Gothic" w:hAnsi="Century Gothic"/>
          <w:b/>
          <w:sz w:val="24"/>
          <w:szCs w:val="24"/>
          <w:u w:val="single"/>
        </w:rPr>
        <w:t> </w:t>
      </w:r>
      <w:r w:rsidR="00F27BC5" w:rsidRPr="0020525E">
        <w:rPr>
          <w:rFonts w:ascii="Century Gothic" w:hAnsi="Century Gothic"/>
          <w:b/>
          <w:sz w:val="24"/>
          <w:szCs w:val="24"/>
          <w:u w:val="single"/>
        </w:rPr>
        <w:t>»</w:t>
      </w:r>
      <w:r w:rsidR="003E7A24" w:rsidRPr="0020525E">
        <w:rPr>
          <w:b/>
          <w:bCs/>
          <w:sz w:val="24"/>
          <w:szCs w:val="24"/>
          <w:u w:val="single"/>
        </w:rPr>
        <w:t> </w:t>
      </w:r>
      <w:r w:rsidR="00A17366" w:rsidRPr="0020525E">
        <w:rPr>
          <w:b/>
          <w:bCs/>
          <w:sz w:val="24"/>
          <w:szCs w:val="24"/>
          <w:u w:val="single"/>
        </w:rPr>
        <w:t xml:space="preserve"> </w:t>
      </w:r>
      <w:r w:rsidR="00A17366" w:rsidRPr="00C711F6">
        <w:rPr>
          <w:rFonts w:ascii="Century Gothic" w:hAnsi="Century Gothic"/>
          <w:b/>
          <w:sz w:val="24"/>
          <w:szCs w:val="24"/>
          <w:u w:val="single"/>
        </w:rPr>
        <w:t>ou en infogérance</w:t>
      </w:r>
      <w:r w:rsidR="00A17366">
        <w:rPr>
          <w:b/>
          <w:bCs/>
        </w:rPr>
        <w:t xml:space="preserve"> </w:t>
      </w:r>
      <w:r w:rsidR="003E7A24">
        <w:t xml:space="preserve">: </w:t>
      </w:r>
      <w:r w:rsidR="00555678">
        <w:rPr>
          <w:rFonts w:ascii="Century Gothic" w:hAnsi="Century Gothic"/>
          <w:sz w:val="24"/>
          <w:szCs w:val="24"/>
        </w:rPr>
        <w:t xml:space="preserve">SLM </w:t>
      </w:r>
      <w:r w:rsidR="00F27BC5" w:rsidRPr="003E7A24">
        <w:rPr>
          <w:rFonts w:ascii="Century Gothic" w:hAnsi="Century Gothic"/>
          <w:sz w:val="24"/>
          <w:szCs w:val="24"/>
        </w:rPr>
        <w:t>qui rend la gestion financière de la part obligatoire du R</w:t>
      </w:r>
      <w:r w:rsidR="003C1AC2">
        <w:rPr>
          <w:rFonts w:ascii="Century Gothic" w:hAnsi="Century Gothic"/>
          <w:sz w:val="24"/>
          <w:szCs w:val="24"/>
        </w:rPr>
        <w:t xml:space="preserve">égime </w:t>
      </w:r>
      <w:r w:rsidR="00F27BC5" w:rsidRPr="003E7A24">
        <w:rPr>
          <w:rFonts w:ascii="Century Gothic" w:hAnsi="Century Gothic"/>
          <w:sz w:val="24"/>
          <w:szCs w:val="24"/>
        </w:rPr>
        <w:t>G</w:t>
      </w:r>
      <w:r w:rsidR="003C1AC2">
        <w:rPr>
          <w:rFonts w:ascii="Century Gothic" w:hAnsi="Century Gothic"/>
          <w:sz w:val="24"/>
          <w:szCs w:val="24"/>
        </w:rPr>
        <w:t>énéral</w:t>
      </w:r>
      <w:r w:rsidR="00F27BC5" w:rsidRPr="003E7A24">
        <w:rPr>
          <w:rFonts w:ascii="Century Gothic" w:hAnsi="Century Gothic"/>
          <w:sz w:val="24"/>
          <w:szCs w:val="24"/>
        </w:rPr>
        <w:t>, assurée</w:t>
      </w:r>
      <w:r w:rsidR="003C1AC2">
        <w:rPr>
          <w:rFonts w:ascii="Century Gothic" w:hAnsi="Century Gothic"/>
          <w:sz w:val="24"/>
          <w:szCs w:val="24"/>
        </w:rPr>
        <w:t xml:space="preserve"> alors</w:t>
      </w:r>
      <w:r w:rsidR="00F27BC5" w:rsidRPr="003E7A24">
        <w:rPr>
          <w:rFonts w:ascii="Century Gothic" w:hAnsi="Century Gothic"/>
          <w:sz w:val="24"/>
          <w:szCs w:val="24"/>
        </w:rPr>
        <w:t xml:space="preserve"> par une caisse centralisatrice</w:t>
      </w:r>
      <w:r w:rsidR="003E7A24">
        <w:rPr>
          <w:rFonts w:ascii="Century Gothic" w:hAnsi="Century Gothic"/>
          <w:sz w:val="24"/>
          <w:szCs w:val="24"/>
        </w:rPr>
        <w:t xml:space="preserve"> zzz</w:t>
      </w:r>
      <w:r w:rsidR="00F27BC5" w:rsidRPr="003E7A24">
        <w:rPr>
          <w:rFonts w:ascii="Century Gothic" w:hAnsi="Century Gothic"/>
          <w:sz w:val="24"/>
          <w:szCs w:val="24"/>
        </w:rPr>
        <w:t>, mais qui conser</w:t>
      </w:r>
      <w:r w:rsidR="003E7A24">
        <w:rPr>
          <w:rFonts w:ascii="Century Gothic" w:hAnsi="Century Gothic"/>
          <w:sz w:val="24"/>
          <w:szCs w:val="24"/>
        </w:rPr>
        <w:t xml:space="preserve">ve </w:t>
      </w:r>
      <w:r w:rsidR="00555678">
        <w:rPr>
          <w:rFonts w:ascii="Century Gothic" w:hAnsi="Century Gothic"/>
          <w:sz w:val="24"/>
          <w:szCs w:val="24"/>
        </w:rPr>
        <w:t xml:space="preserve">la </w:t>
      </w:r>
      <w:r w:rsidR="003E7A24">
        <w:rPr>
          <w:rFonts w:ascii="Century Gothic" w:hAnsi="Century Gothic"/>
          <w:sz w:val="24"/>
          <w:szCs w:val="24"/>
        </w:rPr>
        <w:t>gestion administrative</w:t>
      </w:r>
      <w:r w:rsidR="00555678">
        <w:rPr>
          <w:rFonts w:ascii="Century Gothic" w:hAnsi="Century Gothic"/>
          <w:sz w:val="24"/>
          <w:szCs w:val="24"/>
        </w:rPr>
        <w:t xml:space="preserve"> de ses adhérents</w:t>
      </w:r>
      <w:r w:rsidR="003E7A24">
        <w:rPr>
          <w:rFonts w:ascii="Century Gothic" w:hAnsi="Century Gothic"/>
          <w:sz w:val="24"/>
          <w:szCs w:val="24"/>
        </w:rPr>
        <w:t xml:space="preserve"> </w:t>
      </w:r>
      <w:r w:rsidR="003E7A24" w:rsidRPr="003E7A24">
        <w:rPr>
          <w:rFonts w:ascii="Century Gothic" w:hAnsi="Century Gothic"/>
          <w:b/>
          <w:sz w:val="24"/>
          <w:szCs w:val="24"/>
        </w:rPr>
        <w:t>[</w:t>
      </w:r>
      <w:r w:rsidR="00F27BC5" w:rsidRPr="003E7A24">
        <w:rPr>
          <w:rFonts w:ascii="Century Gothic" w:hAnsi="Century Gothic"/>
          <w:b/>
          <w:sz w:val="24"/>
          <w:szCs w:val="24"/>
        </w:rPr>
        <w:t xml:space="preserve">organisme de liquidation avec un 01C « fictif » pour les dépenses, organisme d’affiliation en 01M </w:t>
      </w:r>
      <w:r w:rsidR="003E7A24" w:rsidRPr="003E7A24">
        <w:rPr>
          <w:rFonts w:ascii="Century Gothic" w:hAnsi="Century Gothic"/>
          <w:b/>
          <w:sz w:val="24"/>
          <w:szCs w:val="24"/>
        </w:rPr>
        <w:t>pour les bénéficiaires]</w:t>
      </w:r>
      <w:r w:rsidR="00F27BC5" w:rsidRPr="003E7A24">
        <w:rPr>
          <w:rFonts w:ascii="Century Gothic" w:hAnsi="Century Gothic"/>
          <w:b/>
          <w:sz w:val="24"/>
          <w:szCs w:val="24"/>
        </w:rPr>
        <w:t>.</w:t>
      </w:r>
    </w:p>
    <w:p w:rsidR="00F27BC5" w:rsidRDefault="003E7A24" w:rsidP="003E7A24">
      <w:pPr>
        <w:jc w:val="both"/>
        <w:rPr>
          <w:rFonts w:ascii="Century Gothic" w:hAnsi="Century Gothic"/>
          <w:sz w:val="24"/>
          <w:szCs w:val="24"/>
        </w:rPr>
      </w:pPr>
      <w:r w:rsidRPr="003E7A24">
        <w:rPr>
          <w:rFonts w:ascii="Century Gothic" w:hAnsi="Century Gothic"/>
          <w:sz w:val="24"/>
          <w:szCs w:val="24"/>
        </w:rPr>
        <w:t xml:space="preserve">L’activité de cette caisse </w:t>
      </w:r>
      <w:r>
        <w:rPr>
          <w:rFonts w:ascii="Century Gothic" w:hAnsi="Century Gothic"/>
          <w:sz w:val="24"/>
          <w:szCs w:val="24"/>
        </w:rPr>
        <w:t xml:space="preserve">centralisatrice </w:t>
      </w:r>
      <w:r w:rsidRPr="003E7A24">
        <w:rPr>
          <w:rFonts w:ascii="Century Gothic" w:hAnsi="Century Gothic"/>
          <w:sz w:val="24"/>
          <w:szCs w:val="24"/>
        </w:rPr>
        <w:t>« fictive » est réalisé</w:t>
      </w:r>
      <w:r>
        <w:rPr>
          <w:rFonts w:ascii="Century Gothic" w:hAnsi="Century Gothic"/>
          <w:sz w:val="24"/>
          <w:szCs w:val="24"/>
        </w:rPr>
        <w:t>e</w:t>
      </w:r>
      <w:r w:rsidRPr="003E7A24">
        <w:rPr>
          <w:rFonts w:ascii="Century Gothic" w:hAnsi="Century Gothic"/>
          <w:sz w:val="24"/>
          <w:szCs w:val="24"/>
        </w:rPr>
        <w:t xml:space="preserve"> </w:t>
      </w:r>
      <w:r>
        <w:rPr>
          <w:rFonts w:ascii="Century Gothic" w:hAnsi="Century Gothic"/>
          <w:sz w:val="24"/>
          <w:szCs w:val="24"/>
        </w:rPr>
        <w:t>dans</w:t>
      </w:r>
      <w:r w:rsidRPr="003E7A24">
        <w:rPr>
          <w:rFonts w:ascii="Century Gothic" w:hAnsi="Century Gothic"/>
          <w:sz w:val="24"/>
          <w:szCs w:val="24"/>
        </w:rPr>
        <w:t xml:space="preserve"> une CPAM mais le numéro de la </w:t>
      </w:r>
      <w:r>
        <w:rPr>
          <w:rFonts w:ascii="Century Gothic" w:hAnsi="Century Gothic"/>
          <w:sz w:val="24"/>
          <w:szCs w:val="24"/>
        </w:rPr>
        <w:t>CPAM</w:t>
      </w:r>
      <w:r w:rsidRPr="003E7A24">
        <w:rPr>
          <w:rFonts w:ascii="Century Gothic" w:hAnsi="Century Gothic"/>
          <w:sz w:val="24"/>
          <w:szCs w:val="24"/>
        </w:rPr>
        <w:t xml:space="preserve"> est fictif</w:t>
      </w:r>
      <w:r w:rsidR="00555678">
        <w:rPr>
          <w:rFonts w:ascii="Century Gothic" w:hAnsi="Century Gothic"/>
          <w:sz w:val="24"/>
          <w:szCs w:val="24"/>
        </w:rPr>
        <w:t xml:space="preserve"> (= N° CPAM créé pour cette infogérance</w:t>
      </w:r>
      <w:r w:rsidR="00845D0A">
        <w:rPr>
          <w:rFonts w:ascii="Century Gothic" w:hAnsi="Century Gothic"/>
          <w:sz w:val="24"/>
          <w:szCs w:val="24"/>
        </w:rPr>
        <w:t>).</w:t>
      </w:r>
    </w:p>
    <w:p w:rsidR="00D56806" w:rsidRPr="00D56806" w:rsidRDefault="00D56806" w:rsidP="00D56806">
      <w:pPr>
        <w:jc w:val="both"/>
        <w:rPr>
          <w:rFonts w:ascii="Century Gothic" w:hAnsi="Century Gothic"/>
          <w:sz w:val="20"/>
          <w:szCs w:val="20"/>
        </w:rPr>
      </w:pPr>
      <w:r>
        <w:rPr>
          <w:rFonts w:ascii="Century Gothic" w:hAnsi="Century Gothic"/>
          <w:sz w:val="20"/>
          <w:szCs w:val="20"/>
        </w:rPr>
        <w:t>Remarque : la</w:t>
      </w:r>
      <w:r w:rsidRPr="00D56806">
        <w:rPr>
          <w:rFonts w:ascii="Century Gothic" w:hAnsi="Century Gothic"/>
          <w:sz w:val="20"/>
          <w:szCs w:val="20"/>
        </w:rPr>
        <w:t xml:space="preserve"> SLM</w:t>
      </w:r>
      <w:r>
        <w:rPr>
          <w:rFonts w:ascii="Century Gothic" w:hAnsi="Century Gothic"/>
          <w:sz w:val="20"/>
          <w:szCs w:val="20"/>
        </w:rPr>
        <w:t xml:space="preserve"> </w:t>
      </w:r>
      <w:proofErr w:type="spellStart"/>
      <w:r>
        <w:rPr>
          <w:rFonts w:ascii="Century Gothic" w:hAnsi="Century Gothic"/>
          <w:sz w:val="20"/>
          <w:szCs w:val="20"/>
        </w:rPr>
        <w:t>infogérée</w:t>
      </w:r>
      <w:proofErr w:type="spellEnd"/>
      <w:r>
        <w:rPr>
          <w:rFonts w:ascii="Century Gothic" w:hAnsi="Century Gothic"/>
          <w:sz w:val="20"/>
          <w:szCs w:val="20"/>
        </w:rPr>
        <w:t xml:space="preserve"> </w:t>
      </w:r>
      <w:r w:rsidRPr="00D56806">
        <w:rPr>
          <w:rFonts w:ascii="Century Gothic" w:hAnsi="Century Gothic"/>
          <w:sz w:val="20"/>
          <w:szCs w:val="20"/>
        </w:rPr>
        <w:t>utilise notre système informationnel et adresse donc au SNDS des données en norme NEC.</w:t>
      </w:r>
    </w:p>
    <w:p w:rsidR="003E7A24" w:rsidRDefault="00CB2FC0" w:rsidP="003E7A24">
      <w:pPr>
        <w:jc w:val="both"/>
        <w:rPr>
          <w:rFonts w:ascii="Century Gothic" w:hAnsi="Century Gothic"/>
          <w:i/>
          <w:sz w:val="24"/>
          <w:szCs w:val="24"/>
        </w:rPr>
      </w:pPr>
      <w:r w:rsidRPr="00EC5619">
        <w:rPr>
          <w:rFonts w:ascii="Century Gothic" w:hAnsi="Century Gothic"/>
          <w:i/>
          <w:sz w:val="24"/>
          <w:szCs w:val="24"/>
        </w:rPr>
        <w:t xml:space="preserve">Par exemple, la </w:t>
      </w:r>
      <w:r w:rsidR="00A17366">
        <w:rPr>
          <w:rFonts w:ascii="Century Gothic" w:hAnsi="Century Gothic"/>
          <w:i/>
          <w:sz w:val="24"/>
          <w:szCs w:val="24"/>
        </w:rPr>
        <w:t xml:space="preserve">Mutuelle des étudiants </w:t>
      </w:r>
      <w:r w:rsidRPr="00EC5619">
        <w:rPr>
          <w:rFonts w:ascii="Century Gothic" w:hAnsi="Century Gothic"/>
          <w:i/>
          <w:sz w:val="24"/>
          <w:szCs w:val="24"/>
        </w:rPr>
        <w:t xml:space="preserve">LMDE </w:t>
      </w:r>
      <w:r w:rsidR="00555678">
        <w:rPr>
          <w:rFonts w:ascii="Century Gothic" w:hAnsi="Century Gothic"/>
          <w:i/>
          <w:sz w:val="24"/>
          <w:szCs w:val="24"/>
        </w:rPr>
        <w:t xml:space="preserve">- </w:t>
      </w:r>
      <w:r w:rsidRPr="00EC5619">
        <w:rPr>
          <w:rFonts w:ascii="Century Gothic" w:hAnsi="Century Gothic"/>
          <w:i/>
          <w:sz w:val="24"/>
          <w:szCs w:val="24"/>
        </w:rPr>
        <w:t>NUM 601</w:t>
      </w:r>
      <w:r w:rsidR="00555678">
        <w:rPr>
          <w:rFonts w:ascii="Century Gothic" w:hAnsi="Century Gothic"/>
          <w:i/>
          <w:sz w:val="24"/>
          <w:szCs w:val="24"/>
        </w:rPr>
        <w:t xml:space="preserve"> – a</w:t>
      </w:r>
      <w:r w:rsidR="00845D0A">
        <w:rPr>
          <w:rFonts w:ascii="Century Gothic" w:hAnsi="Century Gothic"/>
          <w:i/>
          <w:sz w:val="24"/>
          <w:szCs w:val="24"/>
        </w:rPr>
        <w:t xml:space="preserve"> </w:t>
      </w:r>
      <w:r w:rsidRPr="00EC5619">
        <w:rPr>
          <w:rFonts w:ascii="Century Gothic" w:hAnsi="Century Gothic"/>
          <w:i/>
          <w:sz w:val="24"/>
          <w:szCs w:val="24"/>
        </w:rPr>
        <w:t>rend</w:t>
      </w:r>
      <w:r w:rsidR="00555678">
        <w:rPr>
          <w:rFonts w:ascii="Century Gothic" w:hAnsi="Century Gothic"/>
          <w:i/>
          <w:sz w:val="24"/>
          <w:szCs w:val="24"/>
        </w:rPr>
        <w:t>u</w:t>
      </w:r>
      <w:r w:rsidRPr="00EC5619">
        <w:rPr>
          <w:rFonts w:ascii="Century Gothic" w:hAnsi="Century Gothic"/>
          <w:i/>
          <w:sz w:val="24"/>
          <w:szCs w:val="24"/>
        </w:rPr>
        <w:t xml:space="preserve"> </w:t>
      </w:r>
      <w:r w:rsidR="00A17366">
        <w:rPr>
          <w:rFonts w:ascii="Century Gothic" w:hAnsi="Century Gothic"/>
          <w:i/>
          <w:sz w:val="24"/>
          <w:szCs w:val="24"/>
        </w:rPr>
        <w:t xml:space="preserve">en 2015 </w:t>
      </w:r>
      <w:r w:rsidRPr="00EC5619">
        <w:rPr>
          <w:rFonts w:ascii="Century Gothic" w:hAnsi="Century Gothic"/>
          <w:i/>
          <w:sz w:val="24"/>
          <w:szCs w:val="24"/>
        </w:rPr>
        <w:t>la gestion financière</w:t>
      </w:r>
      <w:r w:rsidR="00A17366">
        <w:rPr>
          <w:rFonts w:ascii="Century Gothic" w:hAnsi="Century Gothic"/>
          <w:i/>
          <w:sz w:val="24"/>
          <w:szCs w:val="24"/>
        </w:rPr>
        <w:t xml:space="preserve"> des remboursements </w:t>
      </w:r>
      <w:r w:rsidR="00555678">
        <w:rPr>
          <w:rFonts w:ascii="Century Gothic" w:hAnsi="Century Gothic"/>
          <w:i/>
          <w:sz w:val="24"/>
          <w:szCs w:val="24"/>
        </w:rPr>
        <w:t xml:space="preserve">de la part obligatoire </w:t>
      </w:r>
      <w:r w:rsidRPr="00EC5619">
        <w:rPr>
          <w:rFonts w:ascii="Century Gothic" w:hAnsi="Century Gothic"/>
          <w:i/>
          <w:sz w:val="24"/>
          <w:szCs w:val="24"/>
        </w:rPr>
        <w:t xml:space="preserve"> qui </w:t>
      </w:r>
      <w:r w:rsidR="00555678">
        <w:rPr>
          <w:rFonts w:ascii="Century Gothic" w:hAnsi="Century Gothic"/>
          <w:i/>
          <w:sz w:val="24"/>
          <w:szCs w:val="24"/>
        </w:rPr>
        <w:t>a été</w:t>
      </w:r>
      <w:r w:rsidR="00555678" w:rsidRPr="00EC5619">
        <w:rPr>
          <w:rFonts w:ascii="Century Gothic" w:hAnsi="Century Gothic"/>
          <w:i/>
          <w:sz w:val="24"/>
          <w:szCs w:val="24"/>
        </w:rPr>
        <w:t xml:space="preserve"> </w:t>
      </w:r>
      <w:r w:rsidRPr="00EC5619">
        <w:rPr>
          <w:rFonts w:ascii="Century Gothic" w:hAnsi="Century Gothic"/>
          <w:i/>
          <w:sz w:val="24"/>
          <w:szCs w:val="24"/>
        </w:rPr>
        <w:t>réalisé</w:t>
      </w:r>
      <w:r w:rsidR="00EC5619">
        <w:rPr>
          <w:rFonts w:ascii="Century Gothic" w:hAnsi="Century Gothic"/>
          <w:i/>
          <w:sz w:val="24"/>
          <w:szCs w:val="24"/>
        </w:rPr>
        <w:t>e</w:t>
      </w:r>
      <w:r w:rsidRPr="00EC5619">
        <w:rPr>
          <w:rFonts w:ascii="Century Gothic" w:hAnsi="Century Gothic"/>
          <w:i/>
          <w:sz w:val="24"/>
          <w:szCs w:val="24"/>
        </w:rPr>
        <w:t xml:space="preserve"> par la CPAM</w:t>
      </w:r>
      <w:r w:rsidR="00EC5619">
        <w:rPr>
          <w:rFonts w:ascii="Century Gothic" w:hAnsi="Century Gothic"/>
          <w:i/>
          <w:sz w:val="24"/>
          <w:szCs w:val="24"/>
        </w:rPr>
        <w:t xml:space="preserve"> centralisatrice</w:t>
      </w:r>
      <w:r w:rsidRPr="00EC5619">
        <w:rPr>
          <w:rFonts w:ascii="Century Gothic" w:hAnsi="Century Gothic"/>
          <w:i/>
          <w:sz w:val="24"/>
          <w:szCs w:val="24"/>
        </w:rPr>
        <w:t xml:space="preserve"> « fictive</w:t>
      </w:r>
      <w:r w:rsidR="00EC5619">
        <w:rPr>
          <w:rFonts w:ascii="Century Gothic" w:hAnsi="Century Gothic"/>
          <w:i/>
          <w:sz w:val="24"/>
          <w:szCs w:val="24"/>
        </w:rPr>
        <w:t> »</w:t>
      </w:r>
      <w:r w:rsidR="00A17366">
        <w:rPr>
          <w:rFonts w:ascii="Century Gothic" w:hAnsi="Century Gothic"/>
          <w:i/>
          <w:sz w:val="24"/>
          <w:szCs w:val="24"/>
        </w:rPr>
        <w:t xml:space="preserve"> 90</w:t>
      </w:r>
      <w:r w:rsidR="00555678">
        <w:rPr>
          <w:rFonts w:ascii="Century Gothic" w:hAnsi="Century Gothic"/>
          <w:i/>
          <w:sz w:val="24"/>
          <w:szCs w:val="24"/>
        </w:rPr>
        <w:t>9</w:t>
      </w:r>
      <w:r w:rsidRPr="00EC5619">
        <w:rPr>
          <w:rFonts w:ascii="Century Gothic" w:hAnsi="Century Gothic"/>
          <w:i/>
          <w:sz w:val="24"/>
          <w:szCs w:val="24"/>
        </w:rPr>
        <w:t xml:space="preserve">, mais </w:t>
      </w:r>
      <w:r w:rsidR="00555678">
        <w:rPr>
          <w:rFonts w:ascii="Century Gothic" w:hAnsi="Century Gothic"/>
          <w:i/>
          <w:sz w:val="24"/>
          <w:szCs w:val="24"/>
        </w:rPr>
        <w:t xml:space="preserve">la LMDE </w:t>
      </w:r>
      <w:r w:rsidR="00A17366">
        <w:rPr>
          <w:rFonts w:ascii="Century Gothic" w:hAnsi="Century Gothic"/>
          <w:i/>
          <w:sz w:val="24"/>
          <w:szCs w:val="24"/>
        </w:rPr>
        <w:t>assur</w:t>
      </w:r>
      <w:r w:rsidR="00555678">
        <w:rPr>
          <w:rFonts w:ascii="Century Gothic" w:hAnsi="Century Gothic"/>
          <w:i/>
          <w:sz w:val="24"/>
          <w:szCs w:val="24"/>
        </w:rPr>
        <w:t>ait</w:t>
      </w:r>
      <w:r w:rsidR="00A17366">
        <w:rPr>
          <w:rFonts w:ascii="Century Gothic" w:hAnsi="Century Gothic"/>
          <w:i/>
          <w:sz w:val="24"/>
          <w:szCs w:val="24"/>
        </w:rPr>
        <w:t xml:space="preserve"> toujours</w:t>
      </w:r>
      <w:r w:rsidRPr="00EC5619">
        <w:rPr>
          <w:rFonts w:ascii="Century Gothic" w:hAnsi="Century Gothic"/>
          <w:i/>
          <w:sz w:val="24"/>
          <w:szCs w:val="24"/>
        </w:rPr>
        <w:t xml:space="preserve"> la gestion administrative </w:t>
      </w:r>
      <w:r w:rsidR="00A17366">
        <w:rPr>
          <w:rFonts w:ascii="Century Gothic" w:hAnsi="Century Gothic"/>
          <w:i/>
          <w:sz w:val="24"/>
          <w:szCs w:val="24"/>
        </w:rPr>
        <w:t xml:space="preserve">des bénéficiaires </w:t>
      </w:r>
      <w:r w:rsidR="00555678">
        <w:rPr>
          <w:rFonts w:ascii="Century Gothic" w:hAnsi="Century Gothic"/>
          <w:i/>
          <w:sz w:val="24"/>
          <w:szCs w:val="24"/>
        </w:rPr>
        <w:t xml:space="preserve">pour le compte de </w:t>
      </w:r>
      <w:r w:rsidR="00A17366">
        <w:rPr>
          <w:rFonts w:ascii="Century Gothic" w:hAnsi="Century Gothic"/>
          <w:i/>
          <w:sz w:val="24"/>
          <w:szCs w:val="24"/>
        </w:rPr>
        <w:t>leur</w:t>
      </w:r>
      <w:r w:rsidRPr="00EC5619">
        <w:rPr>
          <w:rFonts w:ascii="Century Gothic" w:hAnsi="Century Gothic"/>
          <w:i/>
          <w:sz w:val="24"/>
          <w:szCs w:val="24"/>
        </w:rPr>
        <w:t xml:space="preserve"> CPAM</w:t>
      </w:r>
      <w:r w:rsidR="00555678">
        <w:rPr>
          <w:rFonts w:ascii="Century Gothic" w:hAnsi="Century Gothic"/>
          <w:i/>
          <w:sz w:val="24"/>
          <w:szCs w:val="24"/>
        </w:rPr>
        <w:t xml:space="preserve"> de résidence</w:t>
      </w:r>
      <w:r w:rsidRPr="00EC5619">
        <w:rPr>
          <w:rFonts w:ascii="Century Gothic" w:hAnsi="Century Gothic"/>
          <w:i/>
          <w:sz w:val="24"/>
          <w:szCs w:val="24"/>
        </w:rPr>
        <w:t xml:space="preserve"> xxx.</w:t>
      </w:r>
    </w:p>
    <w:tbl>
      <w:tblPr>
        <w:tblW w:w="0" w:type="auto"/>
        <w:tblBorders>
          <w:top w:val="single" w:sz="8" w:space="0" w:color="4F81BD"/>
          <w:bottom w:val="single" w:sz="8" w:space="0" w:color="4F81BD"/>
        </w:tblBorders>
        <w:tblLook w:val="04A0" w:firstRow="1" w:lastRow="0" w:firstColumn="1" w:lastColumn="0" w:noHBand="0" w:noVBand="1"/>
      </w:tblPr>
      <w:tblGrid>
        <w:gridCol w:w="4606"/>
        <w:gridCol w:w="4606"/>
      </w:tblGrid>
      <w:tr w:rsidR="000B50DA" w:rsidTr="005B54C3">
        <w:tc>
          <w:tcPr>
            <w:tcW w:w="4606" w:type="dxa"/>
            <w:tcBorders>
              <w:top w:val="single" w:sz="8" w:space="0" w:color="4F81BD"/>
              <w:bottom w:val="single" w:sz="8" w:space="0" w:color="4F81BD"/>
            </w:tcBorders>
            <w:shd w:val="clear" w:color="auto" w:fill="auto"/>
          </w:tcPr>
          <w:p w:rsidR="000B50DA" w:rsidRPr="005B54C3" w:rsidRDefault="000B50DA" w:rsidP="000B50DA">
            <w:pPr>
              <w:rPr>
                <w:b/>
                <w:bCs/>
                <w:color w:val="365F91"/>
              </w:rPr>
            </w:pPr>
            <w:r w:rsidRPr="005B54C3">
              <w:rPr>
                <w:b/>
                <w:bCs/>
                <w:color w:val="365F91"/>
              </w:rPr>
              <w:t xml:space="preserve">SLM </w:t>
            </w:r>
            <w:proofErr w:type="spellStart"/>
            <w:r w:rsidRPr="005B54C3">
              <w:rPr>
                <w:b/>
                <w:bCs/>
                <w:color w:val="365F91"/>
              </w:rPr>
              <w:t>Infogérée</w:t>
            </w:r>
            <w:proofErr w:type="spellEnd"/>
          </w:p>
        </w:tc>
        <w:tc>
          <w:tcPr>
            <w:tcW w:w="4606" w:type="dxa"/>
            <w:tcBorders>
              <w:top w:val="single" w:sz="8" w:space="0" w:color="4F81BD"/>
              <w:bottom w:val="single" w:sz="8" w:space="0" w:color="4F81BD"/>
            </w:tcBorders>
            <w:shd w:val="clear" w:color="auto" w:fill="auto"/>
          </w:tcPr>
          <w:p w:rsidR="003C1AC2" w:rsidRPr="005B54C3" w:rsidRDefault="003C1AC2" w:rsidP="005B54C3">
            <w:pPr>
              <w:spacing w:after="0"/>
              <w:contextualSpacing/>
              <w:rPr>
                <w:b/>
                <w:bCs/>
                <w:color w:val="365F91"/>
              </w:rPr>
            </w:pPr>
            <w:r w:rsidRPr="005B54C3">
              <w:rPr>
                <w:b/>
                <w:bCs/>
                <w:color w:val="365F91"/>
              </w:rPr>
              <w:t xml:space="preserve">Cas général          Exemple </w:t>
            </w:r>
            <w:r w:rsidR="004D3A93" w:rsidRPr="005B54C3">
              <w:rPr>
                <w:b/>
                <w:bCs/>
                <w:color w:val="365F91"/>
              </w:rPr>
              <w:t>LMDE</w:t>
            </w:r>
            <w:r w:rsidRPr="005B54C3">
              <w:rPr>
                <w:b/>
                <w:bCs/>
                <w:color w:val="365F91"/>
              </w:rPr>
              <w:t xml:space="preserve"> d’un     </w:t>
            </w:r>
          </w:p>
          <w:p w:rsidR="000B50DA" w:rsidRPr="005B54C3" w:rsidRDefault="003C1AC2" w:rsidP="003C1AC2">
            <w:pPr>
              <w:rPr>
                <w:b/>
                <w:bCs/>
                <w:color w:val="365F91"/>
              </w:rPr>
            </w:pPr>
            <w:r w:rsidRPr="005B54C3">
              <w:rPr>
                <w:b/>
                <w:bCs/>
                <w:color w:val="365F91"/>
              </w:rPr>
              <w:t xml:space="preserve">                               bénéficiaire affilié à Paris</w:t>
            </w:r>
          </w:p>
        </w:tc>
      </w:tr>
      <w:tr w:rsidR="000B50DA" w:rsidTr="005B54C3">
        <w:tc>
          <w:tcPr>
            <w:tcW w:w="4606" w:type="dxa"/>
            <w:shd w:val="clear" w:color="auto" w:fill="D3DFEE"/>
          </w:tcPr>
          <w:p w:rsidR="000B50DA" w:rsidRPr="005B54C3" w:rsidRDefault="000B50DA" w:rsidP="005B54C3">
            <w:pPr>
              <w:rPr>
                <w:b/>
                <w:bCs/>
                <w:color w:val="365F91"/>
              </w:rPr>
            </w:pPr>
            <w:r w:rsidRPr="005B54C3">
              <w:rPr>
                <w:b/>
                <w:bCs/>
                <w:color w:val="365F91"/>
              </w:rPr>
              <w:t>Organisme de liquidation</w:t>
            </w:r>
          </w:p>
          <w:p w:rsidR="000B50DA" w:rsidRPr="005B54C3" w:rsidRDefault="000B50DA" w:rsidP="005B54C3">
            <w:pPr>
              <w:rPr>
                <w:b/>
                <w:bCs/>
                <w:color w:val="365F91"/>
              </w:rPr>
            </w:pPr>
            <w:r w:rsidRPr="005B54C3">
              <w:rPr>
                <w:b/>
                <w:bCs/>
                <w:color w:val="365F91"/>
              </w:rPr>
              <w:t>Organisme d’affiliation</w:t>
            </w:r>
          </w:p>
        </w:tc>
        <w:tc>
          <w:tcPr>
            <w:tcW w:w="4606" w:type="dxa"/>
            <w:shd w:val="clear" w:color="auto" w:fill="D3DFEE"/>
          </w:tcPr>
          <w:p w:rsidR="000B50DA" w:rsidRPr="005B54C3" w:rsidRDefault="000B50DA" w:rsidP="005B54C3">
            <w:pPr>
              <w:rPr>
                <w:color w:val="365F91"/>
              </w:rPr>
            </w:pPr>
            <w:r w:rsidRPr="005B54C3">
              <w:rPr>
                <w:b/>
                <w:color w:val="365F91"/>
              </w:rPr>
              <w:t>01C</w:t>
            </w:r>
            <w:r w:rsidRPr="005B54C3">
              <w:rPr>
                <w:color w:val="365F91"/>
              </w:rPr>
              <w:t>zzz000</w:t>
            </w:r>
            <w:r w:rsidR="003E7A24" w:rsidRPr="005B54C3">
              <w:rPr>
                <w:color w:val="365F91"/>
              </w:rPr>
              <w:t xml:space="preserve">           </w:t>
            </w:r>
            <w:r w:rsidR="00845D0A">
              <w:rPr>
                <w:color w:val="365F91"/>
              </w:rPr>
              <w:t xml:space="preserve"> </w:t>
            </w:r>
            <w:r w:rsidR="003E7A24" w:rsidRPr="005B54C3">
              <w:rPr>
                <w:color w:val="365F91"/>
              </w:rPr>
              <w:t xml:space="preserve">  </w:t>
            </w:r>
            <w:r w:rsidR="00A17366" w:rsidRPr="005B54C3">
              <w:rPr>
                <w:color w:val="365F91"/>
              </w:rPr>
              <w:t xml:space="preserve"> </w:t>
            </w:r>
            <w:r w:rsidR="003E7A24" w:rsidRPr="005B54C3">
              <w:rPr>
                <w:color w:val="365F91"/>
              </w:rPr>
              <w:t xml:space="preserve">   01C909000</w:t>
            </w:r>
          </w:p>
          <w:p w:rsidR="000B50DA" w:rsidRPr="005B54C3" w:rsidRDefault="000B50DA" w:rsidP="005B54C3">
            <w:pPr>
              <w:rPr>
                <w:color w:val="365F91"/>
              </w:rPr>
            </w:pPr>
            <w:r w:rsidRPr="005B54C3">
              <w:rPr>
                <w:b/>
                <w:color w:val="365F91"/>
              </w:rPr>
              <w:t>01M</w:t>
            </w:r>
            <w:r w:rsidRPr="005B54C3">
              <w:rPr>
                <w:color w:val="365F91"/>
              </w:rPr>
              <w:t>xxxNUM</w:t>
            </w:r>
            <w:r w:rsidR="003C1AC2" w:rsidRPr="005B54C3">
              <w:rPr>
                <w:color w:val="365F91"/>
              </w:rPr>
              <w:t xml:space="preserve">         </w:t>
            </w:r>
            <w:r w:rsidR="00845D0A">
              <w:rPr>
                <w:color w:val="365F91"/>
              </w:rPr>
              <w:t xml:space="preserve"> </w:t>
            </w:r>
            <w:r w:rsidR="003C1AC2" w:rsidRPr="005B54C3">
              <w:rPr>
                <w:color w:val="365F91"/>
              </w:rPr>
              <w:t xml:space="preserve">   01M751</w:t>
            </w:r>
            <w:r w:rsidR="003E7A24" w:rsidRPr="005B54C3">
              <w:rPr>
                <w:color w:val="365F91"/>
              </w:rPr>
              <w:t>601</w:t>
            </w:r>
          </w:p>
        </w:tc>
      </w:tr>
    </w:tbl>
    <w:p w:rsidR="000B50DA" w:rsidRDefault="000B50DA" w:rsidP="00F27BC5"/>
    <w:p w:rsidR="00845D0A" w:rsidRPr="00F27BC5" w:rsidRDefault="00845D0A" w:rsidP="00F27BC5"/>
    <w:p w:rsidR="00F27BC5" w:rsidRPr="00D56806" w:rsidRDefault="00E34133" w:rsidP="00EC5619">
      <w:pPr>
        <w:jc w:val="both"/>
        <w:rPr>
          <w:rFonts w:ascii="Century Gothic" w:hAnsi="Century Gothic"/>
          <w:sz w:val="24"/>
          <w:szCs w:val="24"/>
        </w:rPr>
      </w:pPr>
      <w:r>
        <w:rPr>
          <w:rFonts w:ascii="Century Gothic" w:hAnsi="Century Gothic"/>
          <w:b/>
          <w:sz w:val="24"/>
          <w:szCs w:val="24"/>
          <w:u w:val="single"/>
        </w:rPr>
        <w:t>2.</w:t>
      </w:r>
      <w:r w:rsidR="003C1AC2">
        <w:rPr>
          <w:rFonts w:ascii="Century Gothic" w:hAnsi="Century Gothic"/>
          <w:b/>
          <w:sz w:val="24"/>
          <w:szCs w:val="24"/>
          <w:u w:val="single"/>
        </w:rPr>
        <w:t>3</w:t>
      </w:r>
      <w:r w:rsidR="003C1AC2" w:rsidRPr="00DA5437">
        <w:rPr>
          <w:rFonts w:ascii="Century Gothic" w:hAnsi="Century Gothic"/>
          <w:b/>
          <w:sz w:val="24"/>
          <w:szCs w:val="24"/>
          <w:u w:val="single"/>
        </w:rPr>
        <w:t xml:space="preserve"> –</w:t>
      </w:r>
      <w:r w:rsidR="003C1AC2">
        <w:rPr>
          <w:rFonts w:ascii="Century Gothic" w:hAnsi="Century Gothic"/>
          <w:b/>
          <w:sz w:val="24"/>
          <w:szCs w:val="24"/>
          <w:u w:val="single"/>
        </w:rPr>
        <w:t xml:space="preserve"> </w:t>
      </w:r>
      <w:r w:rsidR="00F27BC5" w:rsidRPr="00EC5619">
        <w:rPr>
          <w:rFonts w:ascii="Century Gothic" w:hAnsi="Century Gothic"/>
          <w:b/>
          <w:sz w:val="24"/>
          <w:szCs w:val="24"/>
          <w:u w:val="single"/>
        </w:rPr>
        <w:t xml:space="preserve">Les SLM </w:t>
      </w:r>
      <w:proofErr w:type="spellStart"/>
      <w:r w:rsidR="00EC5619" w:rsidRPr="00EC5619">
        <w:rPr>
          <w:rFonts w:ascii="Century Gothic" w:hAnsi="Century Gothic"/>
          <w:b/>
          <w:sz w:val="24"/>
          <w:szCs w:val="24"/>
          <w:u w:val="single"/>
        </w:rPr>
        <w:t>ré-intégrées</w:t>
      </w:r>
      <w:proofErr w:type="spellEnd"/>
      <w:r w:rsidR="00EC5619" w:rsidRPr="00EC5619">
        <w:rPr>
          <w:rFonts w:ascii="Century Gothic" w:hAnsi="Century Gothic"/>
          <w:b/>
          <w:sz w:val="24"/>
          <w:szCs w:val="24"/>
          <w:u w:val="single"/>
        </w:rPr>
        <w:t xml:space="preserve"> au Régime Général</w:t>
      </w:r>
      <w:r w:rsidR="00EC5619" w:rsidRPr="0020525E">
        <w:rPr>
          <w:rFonts w:ascii="Century Gothic" w:hAnsi="Century Gothic"/>
          <w:b/>
          <w:sz w:val="24"/>
          <w:szCs w:val="24"/>
        </w:rPr>
        <w:t> :</w:t>
      </w:r>
      <w:r w:rsidR="00EC5619">
        <w:rPr>
          <w:rFonts w:ascii="Century Gothic" w:hAnsi="Century Gothic"/>
          <w:sz w:val="24"/>
          <w:szCs w:val="24"/>
        </w:rPr>
        <w:t xml:space="preserve"> ce sont </w:t>
      </w:r>
      <w:r w:rsidR="00555678">
        <w:rPr>
          <w:rFonts w:ascii="Century Gothic" w:hAnsi="Century Gothic"/>
          <w:sz w:val="24"/>
          <w:szCs w:val="24"/>
        </w:rPr>
        <w:t xml:space="preserve">des SLM </w:t>
      </w:r>
      <w:proofErr w:type="spellStart"/>
      <w:r w:rsidR="00F27BC5" w:rsidRPr="00EC5619">
        <w:rPr>
          <w:rFonts w:ascii="Century Gothic" w:hAnsi="Century Gothic"/>
          <w:sz w:val="24"/>
          <w:szCs w:val="24"/>
        </w:rPr>
        <w:t>infogérées</w:t>
      </w:r>
      <w:proofErr w:type="spellEnd"/>
      <w:r w:rsidR="00F27BC5" w:rsidRPr="00EC5619">
        <w:rPr>
          <w:rFonts w:ascii="Century Gothic" w:hAnsi="Century Gothic"/>
          <w:sz w:val="24"/>
          <w:szCs w:val="24"/>
        </w:rPr>
        <w:t xml:space="preserve"> </w:t>
      </w:r>
      <w:r w:rsidR="00A17366">
        <w:rPr>
          <w:rFonts w:ascii="Century Gothic" w:hAnsi="Century Gothic"/>
          <w:sz w:val="24"/>
          <w:szCs w:val="24"/>
        </w:rPr>
        <w:t xml:space="preserve">qui, </w:t>
      </w:r>
      <w:r w:rsidR="00F27BC5" w:rsidRPr="00EC5619">
        <w:rPr>
          <w:rFonts w:ascii="Century Gothic" w:hAnsi="Century Gothic"/>
          <w:sz w:val="24"/>
          <w:szCs w:val="24"/>
        </w:rPr>
        <w:t>en rendant à la fois la gestion financière et administrative de la part obligatoire</w:t>
      </w:r>
      <w:r w:rsidR="00A17366">
        <w:rPr>
          <w:rFonts w:ascii="Century Gothic" w:hAnsi="Century Gothic"/>
          <w:sz w:val="24"/>
          <w:szCs w:val="24"/>
        </w:rPr>
        <w:t>,</w:t>
      </w:r>
      <w:r w:rsidR="00F27BC5" w:rsidRPr="00EC5619">
        <w:rPr>
          <w:rFonts w:ascii="Century Gothic" w:hAnsi="Century Gothic"/>
          <w:sz w:val="24"/>
          <w:szCs w:val="24"/>
        </w:rPr>
        <w:t xml:space="preserve"> devie</w:t>
      </w:r>
      <w:r w:rsidR="0020525E">
        <w:rPr>
          <w:rFonts w:ascii="Century Gothic" w:hAnsi="Century Gothic"/>
          <w:sz w:val="24"/>
          <w:szCs w:val="24"/>
        </w:rPr>
        <w:t xml:space="preserve">nnent intégrées aux caisses du </w:t>
      </w:r>
      <w:r w:rsidR="00F27BC5" w:rsidRPr="00EC5619">
        <w:rPr>
          <w:rFonts w:ascii="Century Gothic" w:hAnsi="Century Gothic"/>
          <w:sz w:val="24"/>
          <w:szCs w:val="24"/>
        </w:rPr>
        <w:t xml:space="preserve">RG </w:t>
      </w:r>
      <w:r w:rsidR="00A17366" w:rsidRPr="00A17366">
        <w:rPr>
          <w:rFonts w:ascii="Century Gothic" w:hAnsi="Century Gothic"/>
          <w:b/>
          <w:sz w:val="24"/>
          <w:szCs w:val="24"/>
        </w:rPr>
        <w:t>[</w:t>
      </w:r>
      <w:r w:rsidR="00F27BC5" w:rsidRPr="00A17366">
        <w:rPr>
          <w:rFonts w:ascii="Century Gothic" w:hAnsi="Century Gothic"/>
          <w:b/>
          <w:sz w:val="24"/>
          <w:szCs w:val="24"/>
        </w:rPr>
        <w:t xml:space="preserve">organisme de liquidation et d’affiliation en  01C </w:t>
      </w:r>
      <w:r w:rsidR="00A17366" w:rsidRPr="00A17366">
        <w:rPr>
          <w:rFonts w:ascii="Century Gothic" w:hAnsi="Century Gothic"/>
          <w:b/>
          <w:sz w:val="24"/>
          <w:szCs w:val="24"/>
        </w:rPr>
        <w:t>« réel »]</w:t>
      </w:r>
      <w:r w:rsidR="00F27BC5" w:rsidRPr="00A17366">
        <w:rPr>
          <w:rFonts w:ascii="Century Gothic" w:hAnsi="Century Gothic"/>
          <w:b/>
          <w:sz w:val="24"/>
          <w:szCs w:val="24"/>
        </w:rPr>
        <w:t>.</w:t>
      </w:r>
      <w:r w:rsidR="00D56806" w:rsidRPr="00D56806">
        <w:rPr>
          <w:color w:val="1F497D"/>
        </w:rPr>
        <w:t xml:space="preserve"> </w:t>
      </w:r>
      <w:r w:rsidR="00D56806" w:rsidRPr="00D56806">
        <w:rPr>
          <w:rFonts w:ascii="Century Gothic" w:hAnsi="Century Gothic"/>
          <w:sz w:val="24"/>
          <w:szCs w:val="24"/>
        </w:rPr>
        <w:t xml:space="preserve">Lorsque la SLM intègre le RG </w:t>
      </w:r>
      <w:r w:rsidR="00D56806">
        <w:rPr>
          <w:rFonts w:ascii="Century Gothic" w:hAnsi="Century Gothic"/>
          <w:sz w:val="24"/>
          <w:szCs w:val="24"/>
        </w:rPr>
        <w:t>elle</w:t>
      </w:r>
      <w:r w:rsidR="00D56806" w:rsidRPr="00D56806">
        <w:rPr>
          <w:rFonts w:ascii="Century Gothic" w:hAnsi="Century Gothic"/>
          <w:sz w:val="24"/>
          <w:szCs w:val="24"/>
        </w:rPr>
        <w:t xml:space="preserve"> n’est plus comptabilisée comme une SLM</w:t>
      </w:r>
      <w:r w:rsidR="00D13C85">
        <w:rPr>
          <w:rFonts w:ascii="Century Gothic" w:hAnsi="Century Gothic"/>
          <w:sz w:val="24"/>
          <w:szCs w:val="24"/>
        </w:rPr>
        <w:t xml:space="preserve"> et les bénéficiaires sont pris en charge par les CPAM selon leur lieu de résidence.</w:t>
      </w:r>
    </w:p>
    <w:p w:rsidR="00A17366" w:rsidRPr="00A17366" w:rsidRDefault="00A17366" w:rsidP="00EC5619">
      <w:pPr>
        <w:jc w:val="both"/>
        <w:rPr>
          <w:rFonts w:ascii="Century Gothic" w:hAnsi="Century Gothic"/>
          <w:i/>
          <w:sz w:val="24"/>
          <w:szCs w:val="24"/>
        </w:rPr>
      </w:pPr>
      <w:r w:rsidRPr="00A17366">
        <w:rPr>
          <w:rFonts w:ascii="Century Gothic" w:hAnsi="Century Gothic"/>
          <w:i/>
          <w:sz w:val="24"/>
          <w:szCs w:val="24"/>
        </w:rPr>
        <w:t>Par exemple</w:t>
      </w:r>
      <w:r w:rsidR="003C1AC2">
        <w:rPr>
          <w:rFonts w:ascii="Century Gothic" w:hAnsi="Century Gothic"/>
          <w:i/>
          <w:sz w:val="24"/>
          <w:szCs w:val="24"/>
        </w:rPr>
        <w:t xml:space="preserve">, en </w:t>
      </w:r>
      <w:r w:rsidR="00D13C85">
        <w:rPr>
          <w:rFonts w:ascii="Century Gothic" w:hAnsi="Century Gothic"/>
          <w:i/>
          <w:sz w:val="24"/>
          <w:szCs w:val="24"/>
        </w:rPr>
        <w:t xml:space="preserve">septembre </w:t>
      </w:r>
      <w:r w:rsidR="003C1AC2">
        <w:rPr>
          <w:rFonts w:ascii="Century Gothic" w:hAnsi="Century Gothic"/>
          <w:i/>
          <w:sz w:val="24"/>
          <w:szCs w:val="24"/>
        </w:rPr>
        <w:t>2019</w:t>
      </w:r>
      <w:r w:rsidR="00D13C85">
        <w:rPr>
          <w:rFonts w:ascii="Century Gothic" w:hAnsi="Century Gothic"/>
          <w:i/>
          <w:sz w:val="24"/>
          <w:szCs w:val="24"/>
        </w:rPr>
        <w:t>,</w:t>
      </w:r>
      <w:r>
        <w:rPr>
          <w:rFonts w:ascii="Century Gothic" w:hAnsi="Century Gothic"/>
          <w:i/>
          <w:sz w:val="24"/>
          <w:szCs w:val="24"/>
        </w:rPr>
        <w:t xml:space="preserve"> la LMDE </w:t>
      </w:r>
      <w:r w:rsidR="00D13C85">
        <w:rPr>
          <w:rFonts w:ascii="Century Gothic" w:hAnsi="Century Gothic"/>
          <w:i/>
          <w:sz w:val="24"/>
          <w:szCs w:val="24"/>
        </w:rPr>
        <w:t xml:space="preserve">- </w:t>
      </w:r>
      <w:r>
        <w:rPr>
          <w:rFonts w:ascii="Century Gothic" w:hAnsi="Century Gothic"/>
          <w:i/>
          <w:sz w:val="24"/>
          <w:szCs w:val="24"/>
        </w:rPr>
        <w:t>NUM 601</w:t>
      </w:r>
      <w:r w:rsidR="00D13C85">
        <w:rPr>
          <w:rFonts w:ascii="Century Gothic" w:hAnsi="Century Gothic"/>
          <w:i/>
          <w:sz w:val="24"/>
          <w:szCs w:val="24"/>
        </w:rPr>
        <w:t>-</w:t>
      </w:r>
      <w:r w:rsidR="0020525E">
        <w:rPr>
          <w:rFonts w:ascii="Century Gothic" w:hAnsi="Century Gothic"/>
          <w:i/>
          <w:sz w:val="24"/>
          <w:szCs w:val="24"/>
        </w:rPr>
        <w:t xml:space="preserve"> </w:t>
      </w:r>
      <w:r w:rsidR="00D13C85">
        <w:rPr>
          <w:rFonts w:ascii="Century Gothic" w:hAnsi="Century Gothic"/>
          <w:i/>
          <w:sz w:val="24"/>
          <w:szCs w:val="24"/>
        </w:rPr>
        <w:t xml:space="preserve">a restitué aux caisses du régime général </w:t>
      </w:r>
      <w:r>
        <w:rPr>
          <w:rFonts w:ascii="Century Gothic" w:hAnsi="Century Gothic"/>
          <w:i/>
          <w:sz w:val="24"/>
          <w:szCs w:val="24"/>
        </w:rPr>
        <w:t xml:space="preserve">la gestion administrative et financière de la </w:t>
      </w:r>
      <w:r w:rsidR="00D13C85">
        <w:rPr>
          <w:rFonts w:ascii="Century Gothic" w:hAnsi="Century Gothic"/>
          <w:i/>
          <w:sz w:val="24"/>
          <w:szCs w:val="24"/>
        </w:rPr>
        <w:t xml:space="preserve">part obligatoire de la </w:t>
      </w:r>
      <w:r>
        <w:rPr>
          <w:rFonts w:ascii="Century Gothic" w:hAnsi="Century Gothic"/>
          <w:i/>
          <w:sz w:val="24"/>
          <w:szCs w:val="24"/>
        </w:rPr>
        <w:t xml:space="preserve">sécurité sociale et les bénéficiaires </w:t>
      </w:r>
      <w:r w:rsidR="00D13C85">
        <w:rPr>
          <w:rFonts w:ascii="Century Gothic" w:hAnsi="Century Gothic"/>
          <w:i/>
          <w:sz w:val="24"/>
          <w:szCs w:val="24"/>
        </w:rPr>
        <w:t xml:space="preserve">sont à présent </w:t>
      </w:r>
      <w:r>
        <w:rPr>
          <w:rFonts w:ascii="Century Gothic" w:hAnsi="Century Gothic"/>
          <w:i/>
          <w:sz w:val="24"/>
          <w:szCs w:val="24"/>
        </w:rPr>
        <w:t>gérés par leur CPAM d’affiliat</w:t>
      </w:r>
      <w:r w:rsidR="004D3A93">
        <w:rPr>
          <w:rFonts w:ascii="Century Gothic" w:hAnsi="Century Gothic"/>
          <w:i/>
          <w:sz w:val="24"/>
          <w:szCs w:val="24"/>
        </w:rPr>
        <w:t>ion.</w:t>
      </w:r>
    </w:p>
    <w:tbl>
      <w:tblPr>
        <w:tblW w:w="0" w:type="auto"/>
        <w:tblBorders>
          <w:top w:val="single" w:sz="8" w:space="0" w:color="4F81BD"/>
          <w:bottom w:val="single" w:sz="8" w:space="0" w:color="4F81BD"/>
        </w:tblBorders>
        <w:tblLook w:val="04A0" w:firstRow="1" w:lastRow="0" w:firstColumn="1" w:lastColumn="0" w:noHBand="0" w:noVBand="1"/>
      </w:tblPr>
      <w:tblGrid>
        <w:gridCol w:w="4606"/>
        <w:gridCol w:w="4606"/>
      </w:tblGrid>
      <w:tr w:rsidR="000B50DA" w:rsidTr="005B54C3">
        <w:tc>
          <w:tcPr>
            <w:tcW w:w="4606" w:type="dxa"/>
            <w:tcBorders>
              <w:top w:val="single" w:sz="8" w:space="0" w:color="4F81BD"/>
              <w:bottom w:val="single" w:sz="8" w:space="0" w:color="4F81BD"/>
            </w:tcBorders>
            <w:shd w:val="clear" w:color="auto" w:fill="auto"/>
          </w:tcPr>
          <w:p w:rsidR="000B50DA" w:rsidRPr="005B54C3" w:rsidRDefault="000B50DA" w:rsidP="000B50DA">
            <w:pPr>
              <w:rPr>
                <w:b/>
                <w:bCs/>
                <w:color w:val="365F91"/>
              </w:rPr>
            </w:pPr>
            <w:r w:rsidRPr="005B54C3">
              <w:rPr>
                <w:b/>
                <w:bCs/>
                <w:color w:val="365F91"/>
              </w:rPr>
              <w:t>SLM rendant l’infogérance</w:t>
            </w:r>
          </w:p>
        </w:tc>
        <w:tc>
          <w:tcPr>
            <w:tcW w:w="4606" w:type="dxa"/>
            <w:tcBorders>
              <w:top w:val="single" w:sz="8" w:space="0" w:color="4F81BD"/>
              <w:bottom w:val="single" w:sz="8" w:space="0" w:color="4F81BD"/>
            </w:tcBorders>
            <w:shd w:val="clear" w:color="auto" w:fill="auto"/>
          </w:tcPr>
          <w:p w:rsidR="004D3A93" w:rsidRPr="005B54C3" w:rsidRDefault="004D3A93" w:rsidP="005B54C3">
            <w:pPr>
              <w:spacing w:after="0"/>
              <w:contextualSpacing/>
              <w:rPr>
                <w:b/>
                <w:bCs/>
                <w:color w:val="365F91"/>
              </w:rPr>
            </w:pPr>
            <w:r w:rsidRPr="005B54C3">
              <w:rPr>
                <w:b/>
                <w:bCs/>
                <w:color w:val="365F91"/>
              </w:rPr>
              <w:t xml:space="preserve">Cas général          Exemple LMDE d’un     </w:t>
            </w:r>
          </w:p>
          <w:p w:rsidR="000B50DA" w:rsidRPr="005B54C3" w:rsidRDefault="004D3A93" w:rsidP="004D3A93">
            <w:pPr>
              <w:rPr>
                <w:b/>
                <w:bCs/>
                <w:color w:val="365F91"/>
              </w:rPr>
            </w:pPr>
            <w:r w:rsidRPr="005B54C3">
              <w:rPr>
                <w:b/>
                <w:bCs/>
                <w:color w:val="365F91"/>
              </w:rPr>
              <w:t xml:space="preserve">                               bénéficiaire affilié à Paris</w:t>
            </w:r>
          </w:p>
        </w:tc>
      </w:tr>
      <w:tr w:rsidR="000B50DA" w:rsidTr="005B54C3">
        <w:tc>
          <w:tcPr>
            <w:tcW w:w="4606" w:type="dxa"/>
            <w:shd w:val="clear" w:color="auto" w:fill="D3DFEE"/>
          </w:tcPr>
          <w:p w:rsidR="000B50DA" w:rsidRPr="005B54C3" w:rsidRDefault="000B50DA" w:rsidP="005B54C3">
            <w:pPr>
              <w:rPr>
                <w:b/>
                <w:bCs/>
                <w:color w:val="365F91"/>
              </w:rPr>
            </w:pPr>
            <w:r w:rsidRPr="005B54C3">
              <w:rPr>
                <w:b/>
                <w:bCs/>
                <w:color w:val="365F91"/>
              </w:rPr>
              <w:t>Organisme de liquidation</w:t>
            </w:r>
          </w:p>
          <w:p w:rsidR="000B50DA" w:rsidRPr="005B54C3" w:rsidRDefault="000B50DA" w:rsidP="005B54C3">
            <w:pPr>
              <w:rPr>
                <w:b/>
                <w:bCs/>
                <w:color w:val="365F91"/>
              </w:rPr>
            </w:pPr>
            <w:r w:rsidRPr="005B54C3">
              <w:rPr>
                <w:b/>
                <w:bCs/>
                <w:color w:val="365F91"/>
              </w:rPr>
              <w:t>Organisme d’affiliation</w:t>
            </w:r>
          </w:p>
        </w:tc>
        <w:tc>
          <w:tcPr>
            <w:tcW w:w="4606" w:type="dxa"/>
            <w:shd w:val="clear" w:color="auto" w:fill="D3DFEE"/>
          </w:tcPr>
          <w:p w:rsidR="000B50DA" w:rsidRPr="005B54C3" w:rsidRDefault="00A17366" w:rsidP="005B54C3">
            <w:pPr>
              <w:rPr>
                <w:color w:val="365F91"/>
              </w:rPr>
            </w:pPr>
            <w:r w:rsidRPr="005B54C3">
              <w:rPr>
                <w:b/>
                <w:color w:val="365F91"/>
              </w:rPr>
              <w:t>01C</w:t>
            </w:r>
            <w:r w:rsidR="000B50DA" w:rsidRPr="005B54C3">
              <w:rPr>
                <w:color w:val="365F91"/>
              </w:rPr>
              <w:t>xxx000</w:t>
            </w:r>
            <w:r w:rsidR="003E7A24" w:rsidRPr="005B54C3">
              <w:rPr>
                <w:color w:val="365F91"/>
              </w:rPr>
              <w:t xml:space="preserve">   </w:t>
            </w:r>
            <w:r w:rsidRPr="005B54C3">
              <w:rPr>
                <w:color w:val="365F91"/>
              </w:rPr>
              <w:t xml:space="preserve">    </w:t>
            </w:r>
            <w:r w:rsidR="003E7A24" w:rsidRPr="005B54C3">
              <w:rPr>
                <w:color w:val="365F91"/>
              </w:rPr>
              <w:t xml:space="preserve">   </w:t>
            </w:r>
            <w:r w:rsidRPr="005B54C3">
              <w:rPr>
                <w:color w:val="365F91"/>
              </w:rPr>
              <w:t>01C751000</w:t>
            </w:r>
          </w:p>
          <w:p w:rsidR="000B50DA" w:rsidRPr="005B54C3" w:rsidRDefault="00A17366" w:rsidP="00A939F0">
            <w:pPr>
              <w:rPr>
                <w:color w:val="365F91"/>
              </w:rPr>
            </w:pPr>
            <w:r w:rsidRPr="005B54C3">
              <w:rPr>
                <w:b/>
                <w:color w:val="365F91"/>
              </w:rPr>
              <w:t>01C</w:t>
            </w:r>
            <w:r w:rsidR="000B50DA" w:rsidRPr="005B54C3">
              <w:rPr>
                <w:color w:val="365F91"/>
              </w:rPr>
              <w:t>xxx</w:t>
            </w:r>
            <w:r w:rsidR="00A939F0">
              <w:rPr>
                <w:color w:val="365F91"/>
              </w:rPr>
              <w:t>UGE*</w:t>
            </w:r>
            <w:r w:rsidRPr="005B54C3">
              <w:rPr>
                <w:color w:val="365F91"/>
              </w:rPr>
              <w:t xml:space="preserve">          01C751000</w:t>
            </w:r>
          </w:p>
        </w:tc>
      </w:tr>
    </w:tbl>
    <w:p w:rsidR="00C711F6" w:rsidRPr="00D56806" w:rsidRDefault="00A939F0" w:rsidP="00D56806">
      <w:pPr>
        <w:spacing w:after="0" w:line="240" w:lineRule="auto"/>
        <w:jc w:val="both"/>
        <w:rPr>
          <w:rFonts w:ascii="Century Gothic" w:hAnsi="Century Gothic"/>
          <w:sz w:val="24"/>
          <w:szCs w:val="24"/>
        </w:rPr>
      </w:pPr>
      <w:r>
        <w:t>*</w:t>
      </w:r>
      <w:r w:rsidRPr="00A939F0">
        <w:rPr>
          <w:rFonts w:ascii="Century Gothic" w:hAnsi="Century Gothic"/>
          <w:b/>
          <w:bCs/>
          <w:i/>
          <w:iCs/>
          <w:sz w:val="24"/>
          <w:szCs w:val="24"/>
        </w:rPr>
        <w:t xml:space="preserve"> </w:t>
      </w:r>
      <w:r w:rsidRPr="00A939F0">
        <w:rPr>
          <w:rFonts w:ascii="Century Gothic" w:hAnsi="Century Gothic"/>
          <w:i/>
          <w:sz w:val="18"/>
          <w:szCs w:val="18"/>
        </w:rPr>
        <w:t>Attention ! Il n’y a pas de code organisme d’affiliation en ‘01CXXX000’ ; les 3 dernières composantes sont les centres de gestion</w:t>
      </w:r>
      <w:r>
        <w:rPr>
          <w:rFonts w:ascii="Century Gothic" w:hAnsi="Century Gothic"/>
          <w:i/>
          <w:sz w:val="18"/>
          <w:szCs w:val="18"/>
        </w:rPr>
        <w:t xml:space="preserve"> UGE</w:t>
      </w:r>
      <w:r w:rsidRPr="00A939F0">
        <w:rPr>
          <w:rFonts w:ascii="Century Gothic" w:hAnsi="Century Gothic"/>
          <w:i/>
          <w:sz w:val="18"/>
          <w:szCs w:val="18"/>
        </w:rPr>
        <w:t xml:space="preserve"> des CPAM</w:t>
      </w:r>
    </w:p>
    <w:p w:rsidR="00845D0A" w:rsidRDefault="00845D0A" w:rsidP="004D3A93">
      <w:pPr>
        <w:jc w:val="both"/>
        <w:rPr>
          <w:rFonts w:ascii="Century Gothic" w:hAnsi="Century Gothic"/>
          <w:b/>
          <w:sz w:val="24"/>
          <w:szCs w:val="24"/>
        </w:rPr>
      </w:pPr>
    </w:p>
    <w:p w:rsidR="00845D0A" w:rsidRDefault="00845D0A" w:rsidP="004D3A93">
      <w:pPr>
        <w:jc w:val="both"/>
        <w:rPr>
          <w:rFonts w:ascii="Century Gothic" w:hAnsi="Century Gothic"/>
          <w:b/>
          <w:sz w:val="24"/>
          <w:szCs w:val="24"/>
        </w:rPr>
      </w:pPr>
    </w:p>
    <w:p w:rsidR="00A17366" w:rsidRDefault="00A17366" w:rsidP="004D3A93">
      <w:pPr>
        <w:jc w:val="both"/>
        <w:rPr>
          <w:rFonts w:ascii="Century Gothic" w:hAnsi="Century Gothic"/>
          <w:b/>
          <w:sz w:val="24"/>
          <w:szCs w:val="24"/>
        </w:rPr>
      </w:pPr>
      <w:r w:rsidRPr="004D3A93">
        <w:rPr>
          <w:rFonts w:ascii="Century Gothic" w:hAnsi="Century Gothic"/>
          <w:b/>
          <w:sz w:val="24"/>
          <w:szCs w:val="24"/>
        </w:rPr>
        <w:t xml:space="preserve">Un tableau de suivi </w:t>
      </w:r>
      <w:r w:rsidR="004D3A93" w:rsidRPr="004D3A93">
        <w:rPr>
          <w:rFonts w:ascii="Century Gothic" w:hAnsi="Century Gothic"/>
          <w:b/>
          <w:sz w:val="24"/>
          <w:szCs w:val="24"/>
        </w:rPr>
        <w:t>des codifications</w:t>
      </w:r>
      <w:r w:rsidRPr="004D3A93">
        <w:rPr>
          <w:rFonts w:ascii="Century Gothic" w:hAnsi="Century Gothic"/>
          <w:b/>
          <w:sz w:val="24"/>
          <w:szCs w:val="24"/>
        </w:rPr>
        <w:t xml:space="preserve"> des SLM est disponible dans le portail SNDS dans le répertoire : Dossiers Publics/Documentation SNIIRAM-SNDS/Offre de service</w:t>
      </w:r>
      <w:r w:rsidR="00DA5437" w:rsidRPr="004D3A93">
        <w:rPr>
          <w:rFonts w:ascii="Century Gothic" w:hAnsi="Century Gothic"/>
          <w:b/>
          <w:sz w:val="24"/>
          <w:szCs w:val="24"/>
        </w:rPr>
        <w:t xml:space="preserve">/Suivi des </w:t>
      </w:r>
      <w:proofErr w:type="spellStart"/>
      <w:r w:rsidR="00DA5437" w:rsidRPr="004D3A93">
        <w:rPr>
          <w:rFonts w:ascii="Century Gothic" w:hAnsi="Century Gothic"/>
          <w:b/>
          <w:sz w:val="24"/>
          <w:szCs w:val="24"/>
        </w:rPr>
        <w:t>chargement</w:t>
      </w:r>
      <w:r w:rsidR="004D3A93" w:rsidRPr="004D3A93">
        <w:rPr>
          <w:rFonts w:ascii="Century Gothic" w:hAnsi="Century Gothic"/>
          <w:b/>
          <w:sz w:val="24"/>
          <w:szCs w:val="24"/>
        </w:rPr>
        <w:t>s</w:t>
      </w:r>
      <w:r w:rsidR="00DA5437" w:rsidRPr="004D3A93">
        <w:rPr>
          <w:rFonts w:ascii="Century Gothic" w:hAnsi="Century Gothic"/>
          <w:b/>
          <w:sz w:val="24"/>
          <w:szCs w:val="24"/>
        </w:rPr>
        <w:t>_SLM</w:t>
      </w:r>
      <w:proofErr w:type="spellEnd"/>
      <w:r w:rsidR="00DA5437" w:rsidRPr="004D3A93">
        <w:rPr>
          <w:rFonts w:ascii="Century Gothic" w:hAnsi="Century Gothic"/>
          <w:b/>
          <w:sz w:val="24"/>
          <w:szCs w:val="24"/>
        </w:rPr>
        <w:t xml:space="preserve"> dans SNIIRAM.xls</w:t>
      </w:r>
    </w:p>
    <w:p w:rsidR="0097416B" w:rsidRDefault="0097416B" w:rsidP="00404D36">
      <w:pPr>
        <w:pStyle w:val="Paragraphedeliste"/>
        <w:jc w:val="both"/>
        <w:rPr>
          <w:rFonts w:ascii="Century Gothic" w:hAnsi="Century Gothic"/>
          <w:b/>
          <w:sz w:val="24"/>
          <w:szCs w:val="24"/>
        </w:rPr>
      </w:pPr>
    </w:p>
    <w:p w:rsidR="00845D0A" w:rsidRPr="00404D36" w:rsidRDefault="00845D0A" w:rsidP="00404D36">
      <w:pPr>
        <w:pStyle w:val="Paragraphedeliste"/>
        <w:jc w:val="both"/>
        <w:rPr>
          <w:rFonts w:ascii="Century Gothic" w:hAnsi="Century Gothic"/>
          <w:b/>
          <w:sz w:val="24"/>
          <w:szCs w:val="24"/>
        </w:rPr>
      </w:pPr>
    </w:p>
    <w:sectPr w:rsidR="00845D0A" w:rsidRPr="00404D36" w:rsidSect="00D5680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575" w:rsidRDefault="005C3575" w:rsidP="0097416B">
      <w:pPr>
        <w:spacing w:after="0" w:line="240" w:lineRule="auto"/>
      </w:pPr>
      <w:r>
        <w:separator/>
      </w:r>
    </w:p>
  </w:endnote>
  <w:endnote w:type="continuationSeparator" w:id="0">
    <w:p w:rsidR="005C3575" w:rsidRDefault="005C3575" w:rsidP="0097416B">
      <w:pPr>
        <w:spacing w:after="0" w:line="240" w:lineRule="auto"/>
      </w:pPr>
      <w:r>
        <w:continuationSeparator/>
      </w:r>
    </w:p>
  </w:endnote>
  <w:endnote w:id="1">
    <w:p w:rsidR="00845D0A" w:rsidRPr="00404D36" w:rsidRDefault="00845D0A" w:rsidP="00404D36">
      <w:pPr>
        <w:spacing w:after="0" w:line="240" w:lineRule="auto"/>
        <w:jc w:val="both"/>
        <w:rPr>
          <w:rFonts w:ascii="Century Gothic" w:hAnsi="Century Gothic"/>
          <w:bCs/>
          <w:sz w:val="20"/>
          <w:szCs w:val="20"/>
        </w:rPr>
      </w:pPr>
      <w:r w:rsidRPr="00404D36">
        <w:rPr>
          <w:rStyle w:val="Appeldenotedefin"/>
          <w:sz w:val="20"/>
          <w:szCs w:val="20"/>
        </w:rPr>
        <w:endnoteRef/>
      </w:r>
      <w:r w:rsidRPr="00404D36">
        <w:rPr>
          <w:sz w:val="20"/>
          <w:szCs w:val="20"/>
        </w:rPr>
        <w:t xml:space="preserve"> </w:t>
      </w:r>
      <w:r>
        <w:rPr>
          <w:sz w:val="20"/>
          <w:szCs w:val="20"/>
        </w:rPr>
        <w:t xml:space="preserve"> </w:t>
      </w:r>
      <w:proofErr w:type="gramStart"/>
      <w:r w:rsidRPr="00404D36">
        <w:rPr>
          <w:rFonts w:ascii="Century Gothic" w:hAnsi="Century Gothic"/>
          <w:bCs/>
          <w:sz w:val="20"/>
          <w:szCs w:val="20"/>
        </w:rPr>
        <w:t>cas</w:t>
      </w:r>
      <w:proofErr w:type="gramEnd"/>
      <w:r w:rsidRPr="00404D36">
        <w:rPr>
          <w:rFonts w:ascii="Century Gothic" w:hAnsi="Century Gothic"/>
          <w:bCs/>
          <w:sz w:val="20"/>
          <w:szCs w:val="20"/>
        </w:rPr>
        <w:t xml:space="preserve"> de subsistance : </w:t>
      </w:r>
    </w:p>
    <w:p w:rsidR="00845D0A" w:rsidRPr="00A50ADC" w:rsidRDefault="00845D0A" w:rsidP="00A50ADC">
      <w:pPr>
        <w:pStyle w:val="Paragraphedeliste"/>
        <w:numPr>
          <w:ilvl w:val="0"/>
          <w:numId w:val="10"/>
        </w:numPr>
        <w:spacing w:after="0" w:line="240" w:lineRule="auto"/>
        <w:jc w:val="both"/>
        <w:rPr>
          <w:rFonts w:ascii="Century Gothic" w:hAnsi="Century Gothic"/>
          <w:sz w:val="20"/>
          <w:szCs w:val="20"/>
        </w:rPr>
      </w:pPr>
      <w:r w:rsidRPr="00A50ADC">
        <w:rPr>
          <w:rFonts w:ascii="Century Gothic" w:hAnsi="Century Gothic"/>
          <w:bCs/>
          <w:sz w:val="20"/>
          <w:szCs w:val="20"/>
        </w:rPr>
        <w:t>pour</w:t>
      </w:r>
      <w:r w:rsidRPr="00A50ADC">
        <w:rPr>
          <w:rFonts w:ascii="Century Gothic" w:hAnsi="Century Gothic"/>
          <w:bCs/>
          <w:i/>
          <w:iCs/>
          <w:sz w:val="20"/>
          <w:szCs w:val="20"/>
        </w:rPr>
        <w:t xml:space="preserve"> les caisses des DOM </w:t>
      </w:r>
      <w:r w:rsidRPr="00A50ADC">
        <w:rPr>
          <w:rFonts w:ascii="Century Gothic" w:hAnsi="Century Gothic"/>
          <w:bCs/>
          <w:sz w:val="20"/>
          <w:szCs w:val="20"/>
        </w:rPr>
        <w:t xml:space="preserve">(hors Guadeloupe) qui liquident les remboursements des bénéficiaires salariés de la MSA, </w:t>
      </w:r>
    </w:p>
    <w:p w:rsidR="00845D0A" w:rsidRPr="00A50ADC" w:rsidRDefault="00845D0A" w:rsidP="00A50ADC">
      <w:pPr>
        <w:pStyle w:val="Paragraphedeliste"/>
        <w:numPr>
          <w:ilvl w:val="0"/>
          <w:numId w:val="10"/>
        </w:numPr>
        <w:spacing w:after="0" w:line="240" w:lineRule="auto"/>
        <w:jc w:val="both"/>
        <w:rPr>
          <w:rFonts w:ascii="Century Gothic" w:hAnsi="Century Gothic"/>
          <w:sz w:val="20"/>
          <w:szCs w:val="20"/>
        </w:rPr>
      </w:pPr>
      <w:r w:rsidRPr="00A50ADC">
        <w:rPr>
          <w:rFonts w:ascii="Century Gothic" w:hAnsi="Century Gothic"/>
          <w:bCs/>
          <w:sz w:val="20"/>
          <w:szCs w:val="20"/>
        </w:rPr>
        <w:t xml:space="preserve">pour </w:t>
      </w:r>
      <w:r w:rsidRPr="00A50ADC">
        <w:rPr>
          <w:rFonts w:ascii="Century Gothic" w:hAnsi="Century Gothic"/>
          <w:bCs/>
          <w:i/>
          <w:iCs/>
          <w:sz w:val="20"/>
          <w:szCs w:val="20"/>
        </w:rPr>
        <w:t xml:space="preserve">les prestations de cures thermales </w:t>
      </w:r>
      <w:r w:rsidRPr="00A50ADC">
        <w:rPr>
          <w:rFonts w:ascii="Century Gothic" w:hAnsi="Century Gothic"/>
          <w:bCs/>
          <w:sz w:val="20"/>
          <w:szCs w:val="20"/>
        </w:rPr>
        <w:t>liquidées sur le lieu d’implantation de l’établissement pour n</w:t>
      </w:r>
      <w:r w:rsidR="00A50ADC">
        <w:rPr>
          <w:rFonts w:ascii="Century Gothic" w:hAnsi="Century Gothic"/>
          <w:bCs/>
          <w:sz w:val="20"/>
          <w:szCs w:val="20"/>
        </w:rPr>
        <w:t xml:space="preserve">’importe quelle affiliation du </w:t>
      </w:r>
      <w:r w:rsidRPr="00A50ADC">
        <w:rPr>
          <w:rFonts w:ascii="Century Gothic" w:hAnsi="Century Gothic"/>
          <w:bCs/>
          <w:sz w:val="20"/>
          <w:szCs w:val="20"/>
        </w:rPr>
        <w:t>bénéficiaire,</w:t>
      </w:r>
    </w:p>
    <w:p w:rsidR="00845D0A" w:rsidRPr="00A50ADC" w:rsidRDefault="00845D0A" w:rsidP="00A50ADC">
      <w:pPr>
        <w:pStyle w:val="Paragraphedeliste"/>
        <w:numPr>
          <w:ilvl w:val="0"/>
          <w:numId w:val="10"/>
        </w:numPr>
        <w:spacing w:after="0" w:line="240" w:lineRule="auto"/>
        <w:jc w:val="both"/>
        <w:rPr>
          <w:rFonts w:ascii="Century Gothic" w:hAnsi="Century Gothic"/>
          <w:sz w:val="20"/>
          <w:szCs w:val="20"/>
        </w:rPr>
      </w:pPr>
      <w:r w:rsidRPr="00A50ADC">
        <w:rPr>
          <w:rFonts w:ascii="Century Gothic" w:hAnsi="Century Gothic"/>
          <w:bCs/>
          <w:sz w:val="20"/>
          <w:szCs w:val="20"/>
        </w:rPr>
        <w:t xml:space="preserve">et pour </w:t>
      </w:r>
      <w:r w:rsidRPr="00A50ADC">
        <w:rPr>
          <w:rFonts w:ascii="Century Gothic" w:hAnsi="Century Gothic"/>
          <w:bCs/>
          <w:i/>
          <w:iCs/>
          <w:sz w:val="20"/>
          <w:szCs w:val="20"/>
        </w:rPr>
        <w:t xml:space="preserve">les SLM </w:t>
      </w:r>
      <w:proofErr w:type="spellStart"/>
      <w:r w:rsidRPr="00A50ADC">
        <w:rPr>
          <w:rFonts w:ascii="Century Gothic" w:hAnsi="Century Gothic"/>
          <w:bCs/>
          <w:i/>
          <w:iCs/>
          <w:sz w:val="20"/>
          <w:szCs w:val="20"/>
        </w:rPr>
        <w:t>infogérées</w:t>
      </w:r>
      <w:proofErr w:type="spellEnd"/>
      <w:r w:rsidRPr="00A50ADC">
        <w:rPr>
          <w:rFonts w:ascii="Century Gothic" w:hAnsi="Century Gothic"/>
          <w:bCs/>
          <w:i/>
          <w:iCs/>
          <w:sz w:val="20"/>
          <w:szCs w:val="20"/>
        </w:rPr>
        <w:t xml:space="preserve"> </w:t>
      </w:r>
      <w:r w:rsidRPr="00A50ADC">
        <w:rPr>
          <w:rFonts w:ascii="Century Gothic" w:hAnsi="Century Gothic"/>
          <w:bCs/>
          <w:sz w:val="20"/>
          <w:szCs w:val="20"/>
        </w:rPr>
        <w:t>pour lesquelles des caisses avec un numéro de liquidation « fictif » liquident pour les bénéficiaires de ces SLM, en France entière.</w:t>
      </w:r>
    </w:p>
    <w:p w:rsidR="00845D0A" w:rsidRPr="00845D0A" w:rsidRDefault="00845D0A">
      <w:pPr>
        <w:pStyle w:val="Notedefin"/>
      </w:pPr>
    </w:p>
  </w:endnote>
  <w:endnote w:id="2">
    <w:p w:rsidR="00845D0A" w:rsidRPr="00404D36" w:rsidRDefault="00845D0A" w:rsidP="00404D36">
      <w:pPr>
        <w:spacing w:after="0" w:line="240" w:lineRule="auto"/>
        <w:jc w:val="both"/>
        <w:rPr>
          <w:rFonts w:ascii="Century Gothic" w:hAnsi="Century Gothic"/>
          <w:bCs/>
          <w:i/>
          <w:iCs/>
          <w:sz w:val="20"/>
          <w:szCs w:val="20"/>
        </w:rPr>
      </w:pPr>
      <w:r w:rsidRPr="00404D36">
        <w:rPr>
          <w:rStyle w:val="Appeldenotedefin"/>
          <w:sz w:val="20"/>
          <w:szCs w:val="20"/>
        </w:rPr>
        <w:endnoteRef/>
      </w:r>
      <w:r w:rsidRPr="00404D36">
        <w:rPr>
          <w:sz w:val="20"/>
          <w:szCs w:val="20"/>
        </w:rPr>
        <w:t xml:space="preserve"> </w:t>
      </w:r>
      <w:r w:rsidRPr="00404D36">
        <w:rPr>
          <w:rFonts w:ascii="Century Gothic" w:hAnsi="Century Gothic"/>
          <w:bCs/>
          <w:i/>
          <w:iCs/>
          <w:sz w:val="20"/>
          <w:szCs w:val="20"/>
        </w:rPr>
        <w:t>Dans le cas des SLM « </w:t>
      </w:r>
      <w:proofErr w:type="spellStart"/>
      <w:r w:rsidRPr="00404D36">
        <w:rPr>
          <w:rFonts w:ascii="Century Gothic" w:hAnsi="Century Gothic"/>
          <w:bCs/>
          <w:i/>
          <w:iCs/>
          <w:sz w:val="20"/>
          <w:szCs w:val="20"/>
        </w:rPr>
        <w:t>infogérées</w:t>
      </w:r>
      <w:proofErr w:type="spellEnd"/>
      <w:r w:rsidRPr="00404D36">
        <w:rPr>
          <w:rFonts w:ascii="Century Gothic" w:hAnsi="Century Gothic"/>
          <w:bCs/>
          <w:i/>
          <w:iCs/>
          <w:sz w:val="20"/>
          <w:szCs w:val="20"/>
        </w:rPr>
        <w:t> », l’organisme d’affiliation  du bénéficiaire est bien celui de la SLM d’affiliation = lieu de résidence du bénéficiaire (et pas de la caisse « fictive » de liquidation).</w:t>
      </w:r>
    </w:p>
    <w:p w:rsidR="00845D0A" w:rsidRPr="00404D36" w:rsidRDefault="00845D0A">
      <w:pPr>
        <w:pStyle w:val="Notedefin"/>
        <w:rPr>
          <w:rFonts w:ascii="Century Gothic" w:hAnsi="Century Gothic"/>
          <w:bCs/>
          <w:i/>
          <w:iC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575" w:rsidRDefault="005C3575" w:rsidP="0097416B">
      <w:pPr>
        <w:spacing w:after="0" w:line="240" w:lineRule="auto"/>
      </w:pPr>
      <w:r>
        <w:separator/>
      </w:r>
    </w:p>
  </w:footnote>
  <w:footnote w:type="continuationSeparator" w:id="0">
    <w:p w:rsidR="005C3575" w:rsidRDefault="005C3575" w:rsidP="00974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098B"/>
    <w:multiLevelType w:val="hybridMultilevel"/>
    <w:tmpl w:val="783E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5C2EB4"/>
    <w:multiLevelType w:val="hybridMultilevel"/>
    <w:tmpl w:val="EA44D6F2"/>
    <w:lvl w:ilvl="0" w:tplc="FD9627FA">
      <w:numFmt w:val="bullet"/>
      <w:lvlText w:val="-"/>
      <w:lvlJc w:val="left"/>
      <w:pPr>
        <w:ind w:left="720"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0159CA"/>
    <w:multiLevelType w:val="hybridMultilevel"/>
    <w:tmpl w:val="D56C3DEC"/>
    <w:lvl w:ilvl="0" w:tplc="B1409768">
      <w:start w:val="1"/>
      <w:numFmt w:val="decimal"/>
      <w:lvlText w:val="(%1)"/>
      <w:lvlJc w:val="left"/>
      <w:pPr>
        <w:ind w:left="1353" w:hanging="360"/>
      </w:pPr>
      <w:rPr>
        <w:rFonts w:hint="default"/>
        <w:u w:val="single"/>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
    <w:nsid w:val="56F95B1E"/>
    <w:multiLevelType w:val="hybridMultilevel"/>
    <w:tmpl w:val="8F0663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A762428"/>
    <w:multiLevelType w:val="hybridMultilevel"/>
    <w:tmpl w:val="7A7C548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7E45B6E"/>
    <w:multiLevelType w:val="hybridMultilevel"/>
    <w:tmpl w:val="42F8B8F6"/>
    <w:lvl w:ilvl="0" w:tplc="01AED30E">
      <w:numFmt w:val="bullet"/>
      <w:lvlText w:val="-"/>
      <w:lvlJc w:val="left"/>
      <w:pPr>
        <w:ind w:left="720"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C037DFF"/>
    <w:multiLevelType w:val="hybridMultilevel"/>
    <w:tmpl w:val="D7BA9216"/>
    <w:lvl w:ilvl="0" w:tplc="E39EAFCC">
      <w:start w:val="1"/>
      <w:numFmt w:val="decimal"/>
      <w:lvlText w:val="%1-"/>
      <w:lvlJc w:val="left"/>
      <w:pPr>
        <w:ind w:left="360" w:hanging="360"/>
      </w:pPr>
    </w:lvl>
    <w:lvl w:ilvl="1" w:tplc="040C0019">
      <w:start w:val="1"/>
      <w:numFmt w:val="lowerLetter"/>
      <w:lvlText w:val="%2."/>
      <w:lvlJc w:val="left"/>
      <w:pPr>
        <w:ind w:left="1014" w:hanging="360"/>
      </w:pPr>
    </w:lvl>
    <w:lvl w:ilvl="2" w:tplc="040C001B">
      <w:start w:val="1"/>
      <w:numFmt w:val="lowerRoman"/>
      <w:lvlText w:val="%3."/>
      <w:lvlJc w:val="right"/>
      <w:pPr>
        <w:ind w:left="1734" w:hanging="180"/>
      </w:pPr>
    </w:lvl>
    <w:lvl w:ilvl="3" w:tplc="040C000F">
      <w:start w:val="1"/>
      <w:numFmt w:val="decimal"/>
      <w:lvlText w:val="%4."/>
      <w:lvlJc w:val="left"/>
      <w:pPr>
        <w:ind w:left="2454" w:hanging="360"/>
      </w:pPr>
    </w:lvl>
    <w:lvl w:ilvl="4" w:tplc="040C0019">
      <w:start w:val="1"/>
      <w:numFmt w:val="lowerLetter"/>
      <w:lvlText w:val="%5."/>
      <w:lvlJc w:val="left"/>
      <w:pPr>
        <w:ind w:left="3174" w:hanging="360"/>
      </w:pPr>
    </w:lvl>
    <w:lvl w:ilvl="5" w:tplc="040C001B">
      <w:start w:val="1"/>
      <w:numFmt w:val="lowerRoman"/>
      <w:lvlText w:val="%6."/>
      <w:lvlJc w:val="right"/>
      <w:pPr>
        <w:ind w:left="3894" w:hanging="180"/>
      </w:pPr>
    </w:lvl>
    <w:lvl w:ilvl="6" w:tplc="040C000F">
      <w:start w:val="1"/>
      <w:numFmt w:val="decimal"/>
      <w:lvlText w:val="%7."/>
      <w:lvlJc w:val="left"/>
      <w:pPr>
        <w:ind w:left="4614" w:hanging="360"/>
      </w:pPr>
    </w:lvl>
    <w:lvl w:ilvl="7" w:tplc="040C0019">
      <w:start w:val="1"/>
      <w:numFmt w:val="lowerLetter"/>
      <w:lvlText w:val="%8."/>
      <w:lvlJc w:val="left"/>
      <w:pPr>
        <w:ind w:left="5334" w:hanging="360"/>
      </w:pPr>
    </w:lvl>
    <w:lvl w:ilvl="8" w:tplc="040C001B">
      <w:start w:val="1"/>
      <w:numFmt w:val="lowerRoman"/>
      <w:lvlText w:val="%9."/>
      <w:lvlJc w:val="right"/>
      <w:pPr>
        <w:ind w:left="6054" w:hanging="180"/>
      </w:pPr>
    </w:lvl>
  </w:abstractNum>
  <w:abstractNum w:abstractNumId="7">
    <w:nsid w:val="727C4B9D"/>
    <w:multiLevelType w:val="hybridMultilevel"/>
    <w:tmpl w:val="238E6AD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1F3AA2"/>
    <w:multiLevelType w:val="hybridMultilevel"/>
    <w:tmpl w:val="8396A27E"/>
    <w:lvl w:ilvl="0" w:tplc="3CFAC0CA">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7"/>
  </w:num>
  <w:num w:numId="5">
    <w:abstractNumId w:val="1"/>
  </w:num>
  <w:num w:numId="6">
    <w:abstractNumId w:val="4"/>
  </w:num>
  <w:num w:numId="7">
    <w:abstractNumId w:val="5"/>
  </w:num>
  <w:num w:numId="8">
    <w:abstractNumId w:val="8"/>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 CUERQ">
    <w15:presenceInfo w15:providerId="AD" w15:userId="S::anne.cuerq@indsante.fr::e4f1a4e9-4e9e-4fd5-9bae-f254e664a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C5"/>
    <w:rsid w:val="00011949"/>
    <w:rsid w:val="000B50DA"/>
    <w:rsid w:val="0012232B"/>
    <w:rsid w:val="00137D9F"/>
    <w:rsid w:val="001B734D"/>
    <w:rsid w:val="001E2585"/>
    <w:rsid w:val="0020525E"/>
    <w:rsid w:val="003359E0"/>
    <w:rsid w:val="003376BB"/>
    <w:rsid w:val="003C1AC2"/>
    <w:rsid w:val="003E7A24"/>
    <w:rsid w:val="00404D36"/>
    <w:rsid w:val="0047629B"/>
    <w:rsid w:val="004D3A93"/>
    <w:rsid w:val="00541D87"/>
    <w:rsid w:val="00555678"/>
    <w:rsid w:val="00587DA5"/>
    <w:rsid w:val="005B54C3"/>
    <w:rsid w:val="005C3575"/>
    <w:rsid w:val="0071290E"/>
    <w:rsid w:val="00730715"/>
    <w:rsid w:val="00777913"/>
    <w:rsid w:val="007944D7"/>
    <w:rsid w:val="0083174C"/>
    <w:rsid w:val="00832F72"/>
    <w:rsid w:val="00845D0A"/>
    <w:rsid w:val="0097416B"/>
    <w:rsid w:val="00A17366"/>
    <w:rsid w:val="00A50ADC"/>
    <w:rsid w:val="00A72BD1"/>
    <w:rsid w:val="00A939F0"/>
    <w:rsid w:val="00BB46DD"/>
    <w:rsid w:val="00C711F6"/>
    <w:rsid w:val="00CB2FC0"/>
    <w:rsid w:val="00D13C85"/>
    <w:rsid w:val="00D56806"/>
    <w:rsid w:val="00DA5437"/>
    <w:rsid w:val="00E34133"/>
    <w:rsid w:val="00EC5619"/>
    <w:rsid w:val="00F22816"/>
    <w:rsid w:val="00F27BC5"/>
    <w:rsid w:val="00F813B8"/>
    <w:rsid w:val="00FD4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0B50D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edebulles">
    <w:name w:val="Balloon Text"/>
    <w:basedOn w:val="Normal"/>
    <w:link w:val="TextedebullesCar"/>
    <w:uiPriority w:val="99"/>
    <w:semiHidden/>
    <w:unhideWhenUsed/>
    <w:rsid w:val="007129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90E"/>
    <w:rPr>
      <w:rFonts w:ascii="Tahoma" w:hAnsi="Tahoma" w:cs="Tahoma"/>
      <w:sz w:val="16"/>
      <w:szCs w:val="16"/>
      <w:lang w:eastAsia="en-US"/>
    </w:rPr>
  </w:style>
  <w:style w:type="paragraph" w:styleId="Paragraphedeliste">
    <w:name w:val="List Paragraph"/>
    <w:basedOn w:val="Normal"/>
    <w:uiPriority w:val="34"/>
    <w:qFormat/>
    <w:rsid w:val="0071290E"/>
    <w:pPr>
      <w:ind w:left="720"/>
      <w:contextualSpacing/>
    </w:pPr>
  </w:style>
  <w:style w:type="paragraph" w:styleId="Notedefin">
    <w:name w:val="endnote text"/>
    <w:basedOn w:val="Normal"/>
    <w:link w:val="NotedefinCar"/>
    <w:uiPriority w:val="99"/>
    <w:semiHidden/>
    <w:unhideWhenUsed/>
    <w:rsid w:val="0097416B"/>
    <w:pPr>
      <w:spacing w:after="0" w:line="240" w:lineRule="auto"/>
    </w:pPr>
    <w:rPr>
      <w:sz w:val="20"/>
      <w:szCs w:val="20"/>
    </w:rPr>
  </w:style>
  <w:style w:type="character" w:customStyle="1" w:styleId="NotedefinCar">
    <w:name w:val="Note de fin Car"/>
    <w:basedOn w:val="Policepardfaut"/>
    <w:link w:val="Notedefin"/>
    <w:uiPriority w:val="99"/>
    <w:semiHidden/>
    <w:rsid w:val="0097416B"/>
    <w:rPr>
      <w:lang w:eastAsia="en-US"/>
    </w:rPr>
  </w:style>
  <w:style w:type="character" w:styleId="Appeldenotedefin">
    <w:name w:val="endnote reference"/>
    <w:basedOn w:val="Policepardfaut"/>
    <w:uiPriority w:val="99"/>
    <w:semiHidden/>
    <w:unhideWhenUsed/>
    <w:rsid w:val="009741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0B50D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edebulles">
    <w:name w:val="Balloon Text"/>
    <w:basedOn w:val="Normal"/>
    <w:link w:val="TextedebullesCar"/>
    <w:uiPriority w:val="99"/>
    <w:semiHidden/>
    <w:unhideWhenUsed/>
    <w:rsid w:val="007129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90E"/>
    <w:rPr>
      <w:rFonts w:ascii="Tahoma" w:hAnsi="Tahoma" w:cs="Tahoma"/>
      <w:sz w:val="16"/>
      <w:szCs w:val="16"/>
      <w:lang w:eastAsia="en-US"/>
    </w:rPr>
  </w:style>
  <w:style w:type="paragraph" w:styleId="Paragraphedeliste">
    <w:name w:val="List Paragraph"/>
    <w:basedOn w:val="Normal"/>
    <w:uiPriority w:val="34"/>
    <w:qFormat/>
    <w:rsid w:val="0071290E"/>
    <w:pPr>
      <w:ind w:left="720"/>
      <w:contextualSpacing/>
    </w:pPr>
  </w:style>
  <w:style w:type="paragraph" w:styleId="Notedefin">
    <w:name w:val="endnote text"/>
    <w:basedOn w:val="Normal"/>
    <w:link w:val="NotedefinCar"/>
    <w:uiPriority w:val="99"/>
    <w:semiHidden/>
    <w:unhideWhenUsed/>
    <w:rsid w:val="0097416B"/>
    <w:pPr>
      <w:spacing w:after="0" w:line="240" w:lineRule="auto"/>
    </w:pPr>
    <w:rPr>
      <w:sz w:val="20"/>
      <w:szCs w:val="20"/>
    </w:rPr>
  </w:style>
  <w:style w:type="character" w:customStyle="1" w:styleId="NotedefinCar">
    <w:name w:val="Note de fin Car"/>
    <w:basedOn w:val="Policepardfaut"/>
    <w:link w:val="Notedefin"/>
    <w:uiPriority w:val="99"/>
    <w:semiHidden/>
    <w:rsid w:val="0097416B"/>
    <w:rPr>
      <w:lang w:eastAsia="en-US"/>
    </w:rPr>
  </w:style>
  <w:style w:type="character" w:styleId="Appeldenotedefin">
    <w:name w:val="endnote reference"/>
    <w:basedOn w:val="Policepardfaut"/>
    <w:uiPriority w:val="99"/>
    <w:semiHidden/>
    <w:unhideWhenUsed/>
    <w:rsid w:val="009741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605561">
      <w:bodyDiv w:val="1"/>
      <w:marLeft w:val="0"/>
      <w:marRight w:val="0"/>
      <w:marTop w:val="0"/>
      <w:marBottom w:val="0"/>
      <w:divBdr>
        <w:top w:val="none" w:sz="0" w:space="0" w:color="auto"/>
        <w:left w:val="none" w:sz="0" w:space="0" w:color="auto"/>
        <w:bottom w:val="none" w:sz="0" w:space="0" w:color="auto"/>
        <w:right w:val="none" w:sz="0" w:space="0" w:color="auto"/>
      </w:divBdr>
    </w:div>
    <w:div w:id="1026177350">
      <w:bodyDiv w:val="1"/>
      <w:marLeft w:val="0"/>
      <w:marRight w:val="0"/>
      <w:marTop w:val="0"/>
      <w:marBottom w:val="0"/>
      <w:divBdr>
        <w:top w:val="none" w:sz="0" w:space="0" w:color="auto"/>
        <w:left w:val="none" w:sz="0" w:space="0" w:color="auto"/>
        <w:bottom w:val="none" w:sz="0" w:space="0" w:color="auto"/>
        <w:right w:val="none" w:sz="0" w:space="0" w:color="auto"/>
      </w:divBdr>
    </w:div>
    <w:div w:id="1239436023">
      <w:bodyDiv w:val="1"/>
      <w:marLeft w:val="0"/>
      <w:marRight w:val="0"/>
      <w:marTop w:val="0"/>
      <w:marBottom w:val="0"/>
      <w:divBdr>
        <w:top w:val="none" w:sz="0" w:space="0" w:color="auto"/>
        <w:left w:val="none" w:sz="0" w:space="0" w:color="auto"/>
        <w:bottom w:val="none" w:sz="0" w:space="0" w:color="auto"/>
        <w:right w:val="none" w:sz="0" w:space="0" w:color="auto"/>
      </w:divBdr>
    </w:div>
    <w:div w:id="20569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D0B99-FBC4-4543-9FE0-600BB897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944</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DE MARTINI LAURE</dc:creator>
  <cp:lastModifiedBy>FERNANDEZ DE MARTINI LAURE</cp:lastModifiedBy>
  <cp:revision>2</cp:revision>
  <dcterms:created xsi:type="dcterms:W3CDTF">2019-12-11T07:50:00Z</dcterms:created>
  <dcterms:modified xsi:type="dcterms:W3CDTF">2019-12-11T07:50:00Z</dcterms:modified>
</cp:coreProperties>
</file>