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703C"/>
          <w:sz w:val="40"/>
        </w:rPr>
        <w:t>INZA DIGITAL SOLUTIONS</w:t>
      </w:r>
    </w:p>
    <w:p>
      <w:pPr>
        <w:spacing w:after="40"/>
        <w:jc w:val="center"/>
      </w:pPr>
      <w:r>
        <w:rPr>
          <w:color w:val="F47B20"/>
          <w:sz w:val="22"/>
        </w:rPr>
        <w:t>Développement Web &amp; Solutions Numériques</w:t>
      </w:r>
    </w:p>
    <w:p>
      <w:pPr>
        <w:spacing w:after="40"/>
        <w:jc w:val="center"/>
      </w:pPr>
      <w:r>
        <w:rPr>
          <w:color w:val="4A4A4A"/>
          <w:sz w:val="18"/>
        </w:rPr>
        <w:t>Abidjan, Côte d'Ivoire  |  contact@inza-digital.ci  |  +225 07 00 00 00 00</w:t>
      </w:r>
    </w:p>
    <w:p/>
    <w:p>
      <w:pPr>
        <w:spacing w:after="0" w:before="0"/>
        <w:pBdr>
          <w:bottom w:val="single" w:sz="12" w:space="1" w:color="F47B20"/>
        </w:pBdr>
      </w:pPr>
    </w:p>
    <w:p/>
    <w:p>
      <w:pPr>
        <w:spacing w:after="80"/>
        <w:jc w:val="center"/>
      </w:pPr>
      <w:r>
        <w:rPr>
          <w:b/>
          <w:color w:val="00703C"/>
          <w:sz w:val="30"/>
        </w:rPr>
        <w:t>DEVIS N° INZA-2026-0401</w:t>
      </w:r>
    </w:p>
    <w:p>
      <w:pPr>
        <w:spacing w:after="240"/>
        <w:jc w:val="center"/>
      </w:pPr>
      <w:r>
        <w:rPr>
          <w:color w:val="4A4A4A"/>
          <w:sz w:val="22"/>
        </w:rPr>
        <w:t>Déploiement &amp; Infrastructure — Application DosTracker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EAF4EE"/>
          </w:tcPr>
          <w:p>
            <w:pPr>
              <w:spacing w:after="40"/>
            </w:pPr>
            <w:r>
              <w:rPr>
                <w:b/>
                <w:color w:val="4A4A4A"/>
                <w:sz w:val="20"/>
              </w:rPr>
              <w:t>ÉMETTEUR</w:t>
            </w:r>
          </w:p>
          <w:p>
            <w:pPr>
              <w:spacing w:after="40"/>
            </w:pPr>
            <w:r>
              <w:rPr>
                <w:b/>
                <w:color w:val="4A4A4A"/>
                <w:sz w:val="22"/>
              </w:rPr>
              <w:t>INZA DIGITAL SOLUTIONS</w:t>
            </w:r>
          </w:p>
          <w:p>
            <w:pPr>
              <w:spacing w:after="40"/>
            </w:pPr>
            <w:r>
              <w:rPr>
                <w:b w:val="0"/>
                <w:color w:val="4A4A4A"/>
                <w:sz w:val="19"/>
              </w:rPr>
              <w:t>Développeur Full Stack</w:t>
            </w:r>
          </w:p>
          <w:p>
            <w:pPr>
              <w:spacing w:after="40"/>
            </w:pPr>
            <w:r>
              <w:rPr>
                <w:b w:val="0"/>
                <w:color w:val="4A4A4A"/>
                <w:sz w:val="19"/>
              </w:rPr>
              <w:t>Abidjan, Côte d'Ivoire</w:t>
            </w:r>
          </w:p>
          <w:p>
            <w:pPr>
              <w:spacing w:after="40"/>
            </w:pPr>
            <w:r>
              <w:rPr>
                <w:b w:val="0"/>
                <w:color w:val="4A4A4A"/>
                <w:sz w:val="19"/>
              </w:rPr>
              <w:t>INZA Ouat — contact@inza-digital.ci</w:t>
            </w:r>
          </w:p>
        </w:tc>
        <w:tc>
          <w:tcPr>
            <w:tcW w:type="dxa" w:w="5102"/>
            <w:shd w:val="clear" w:color="auto" w:fill="FFF6EE"/>
          </w:tcPr>
          <w:p>
            <w:pPr>
              <w:spacing w:after="40"/>
            </w:pPr>
            <w:r>
              <w:rPr>
                <w:b/>
                <w:color w:val="4A4A4A"/>
                <w:sz w:val="20"/>
              </w:rPr>
              <w:t>DESTINATAIRE</w:t>
            </w:r>
          </w:p>
          <w:p>
            <w:pPr>
              <w:spacing w:after="40"/>
            </w:pPr>
            <w:r>
              <w:rPr>
                <w:b/>
                <w:color w:val="4A4A4A"/>
                <w:sz w:val="22"/>
              </w:rPr>
              <w:t>Madame SANDRINE</w:t>
            </w:r>
          </w:p>
          <w:p>
            <w:pPr>
              <w:spacing w:after="40"/>
            </w:pPr>
            <w:r>
              <w:rPr>
                <w:b w:val="0"/>
                <w:color w:val="4A4A4A"/>
                <w:sz w:val="19"/>
              </w:rPr>
              <w:t>Client — Projet DosTracker</w:t>
            </w:r>
          </w:p>
          <w:p>
            <w:pPr>
              <w:spacing w:after="40"/>
            </w:pPr>
            <w:r>
              <w:rPr>
                <w:b w:val="0"/>
                <w:color w:val="4A4A4A"/>
                <w:sz w:val="19"/>
              </w:rPr>
              <w:t>Date du devis : 06/04/2026</w:t>
            </w:r>
          </w:p>
          <w:p>
            <w:pPr>
              <w:spacing w:after="40"/>
            </w:pPr>
            <w:r>
              <w:rPr>
                <w:b w:val="0"/>
                <w:color w:val="4A4A4A"/>
                <w:sz w:val="19"/>
              </w:rPr>
              <w:t>Validité : 30 jours</w:t>
            </w:r>
          </w:p>
        </w:tc>
      </w:tr>
    </w:tbl>
    <w:p/>
    <w:p>
      <w:pPr>
        <w:spacing w:before="240" w:after="80"/>
        <w:jc w:val="left"/>
        <w:pBdr>
          <w:bottom w:val="single" w:sz="6" w:space="4" w:color="00703C"/>
        </w:pBdr>
      </w:pPr>
      <w:r>
        <w:rPr>
          <w:b/>
          <w:color w:val="00703C"/>
          <w:sz w:val="26"/>
        </w:rPr>
        <w:t>1. Hébergement VPS (Serveur Privé Virtuel)</w:t>
      </w:r>
    </w:p>
    <w:p>
      <w:pPr>
        <w:spacing w:after="120" w:before="0"/>
        <w:jc w:val="left"/>
      </w:pPr>
      <w:r>
        <w:rPr>
          <w:b w:val="0"/>
          <w:color w:val="4A4A4A"/>
          <w:sz w:val="19"/>
        </w:rPr>
        <w:t>Serveur recommandé : Hetzner Cloud CX22 — 2 vCPU / 4 GB RAM / 40 GB NVMe SSD</w:t>
      </w:r>
    </w:p>
    <w:p>
      <w:pPr>
        <w:spacing w:after="120" w:before="0"/>
        <w:jc w:val="left"/>
      </w:pPr>
      <w:r>
        <w:rPr>
          <w:b w:val="0"/>
          <w:color w:val="4A4A4A"/>
          <w:sz w:val="19"/>
        </w:rPr>
        <w:t>Adapté pour héberger simultanément le backend FastAPI et le frontend React.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2835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Caractéristiques</w:t>
            </w:r>
          </w:p>
        </w:tc>
        <w:tc>
          <w:tcPr>
            <w:tcW w:type="dxa" w:w="170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Prix/mois (FCFA)</w:t>
            </w:r>
          </w:p>
        </w:tc>
        <w:tc>
          <w:tcPr>
            <w:tcW w:type="dxa" w:w="1417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170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Sous-total (FCFA)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VPS Hetzner CX22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2 vCPU, 4 GB RAM, 40 GB SSD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2 600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12 mois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31 200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9"/>
              </w:rPr>
              <w:t>Bande passante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9"/>
              </w:rPr>
              <w:t>20 TB inclus/mois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9"/>
              </w:rPr>
              <w:t>Inclus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Sauvegarde automatique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20% du prix VPS/mois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520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12 mois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6 240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b w:val="0"/>
                <w:sz w:val="19"/>
              </w:rPr>
              <w:t>IP fixe dédiée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 w:val="0"/>
                <w:sz w:val="19"/>
              </w:rPr>
              <w:t>1 IPv4 publique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9"/>
              </w:rPr>
              <w:t>12 mois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3 600</w:t>
            </w:r>
          </w:p>
        </w:tc>
      </w:tr>
      <w:tr>
        <w:tc>
          <w:tcPr>
            <w:tcW w:type="dxa" w:w="3118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835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  <w:t>TOTAL VPS/AN</w:t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right"/>
            </w:pPr>
            <w:r>
              <w:rPr>
                <w:b/>
                <w:sz w:val="19"/>
              </w:rPr>
              <w:t>41 040</w:t>
            </w:r>
          </w:p>
        </w:tc>
      </w:tr>
    </w:tbl>
    <w:p/>
    <w:p>
      <w:pPr>
        <w:spacing w:before="240" w:after="80"/>
        <w:jc w:val="left"/>
        <w:pBdr>
          <w:bottom w:val="single" w:sz="6" w:space="4" w:color="00703C"/>
        </w:pBdr>
      </w:pPr>
      <w:r>
        <w:rPr>
          <w:b/>
          <w:color w:val="00703C"/>
          <w:sz w:val="26"/>
        </w:rPr>
        <w:t>2. Nom de Domaine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Extension</w:t>
            </w:r>
          </w:p>
        </w:tc>
        <w:tc>
          <w:tcPr>
            <w:tcW w:type="dxa" w:w="3969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 recommandé</w:t>
            </w:r>
          </w:p>
        </w:tc>
        <w:tc>
          <w:tcPr>
            <w:tcW w:type="dxa" w:w="170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Prix/an (FCFA)</w:t>
            </w:r>
          </w:p>
        </w:tc>
        <w:tc>
          <w:tcPr>
            <w:tcW w:type="dxa" w:w="255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Remarque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.ci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Site officiel Côte d'Ivoire (recommandé)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19 500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Ex : dostracker.ci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9"/>
              </w:rPr>
              <w:t>.com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b w:val="0"/>
                <w:sz w:val="19"/>
              </w:rPr>
              <w:t>Alternative internationale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9"/>
              </w:rPr>
              <w:t>10 200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b w:val="0"/>
                <w:sz w:val="19"/>
              </w:rPr>
              <w:t>Ex : dostracker.com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.org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Alternative institutionnelle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10 800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Ex : dostracker.org</w:t>
            </w:r>
          </w:p>
        </w:tc>
      </w:tr>
      <w:tr>
        <w:tc>
          <w:tcPr>
            <w:tcW w:type="dxa" w:w="1417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969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  <w:t>RETENU : .ci</w:t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  <w:t>19 500 /an</w:t>
            </w:r>
          </w:p>
        </w:tc>
        <w:tc>
          <w:tcPr>
            <w:tcW w:type="dxa" w:w="2551"/>
            <w:shd w:val="clear" w:color="auto" w:fill="EAF4EE"/>
          </w:tcPr>
          <w:p>
            <w:pPr>
              <w:jc w:val="right"/>
            </w:pPr>
            <w:r>
              <w:rPr>
                <w:b w:val="0"/>
                <w:sz w:val="19"/>
              </w:rPr>
              <w:t>Renouvellement annuel</w:t>
            </w:r>
          </w:p>
        </w:tc>
      </w:tr>
    </w:tbl>
    <w:p>
      <w:pPr>
        <w:spacing w:after="40" w:before="0"/>
        <w:jc w:val="left"/>
      </w:pPr>
      <w:r>
        <w:rPr>
          <w:b w:val="0"/>
          <w:color w:val="4A4A4A"/>
          <w:sz w:val="18"/>
        </w:rPr>
        <w:t>* Certificat SSL/TLS (HTTPS) : Gratuit via Let's Encrypt — inclus dans la configuration.</w:t>
      </w:r>
    </w:p>
    <w:p/>
    <w:p>
      <w:pPr>
        <w:spacing w:before="240" w:after="80"/>
        <w:jc w:val="left"/>
        <w:pBdr>
          <w:bottom w:val="single" w:sz="6" w:space="4" w:color="00703C"/>
        </w:pBdr>
      </w:pPr>
      <w:r>
        <w:rPr>
          <w:b/>
          <w:color w:val="00703C"/>
          <w:sz w:val="26"/>
        </w:rPr>
        <w:t>3. Service SMS — Twilio</w:t>
      </w:r>
    </w:p>
    <w:p>
      <w:pPr>
        <w:spacing w:after="120" w:before="0"/>
        <w:jc w:val="left"/>
      </w:pPr>
      <w:r>
        <w:rPr>
          <w:b w:val="0"/>
          <w:color w:val="4A4A4A"/>
          <w:sz w:val="19"/>
        </w:rPr>
        <w:t>Utilisé pour les notifications NON_CONFORME et les codes d'authentification 2FA.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3685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  <w:tc>
          <w:tcPr>
            <w:tcW w:type="dxa" w:w="170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Coût unitaire (FCFA)</w:t>
            </w:r>
          </w:p>
        </w:tc>
        <w:tc>
          <w:tcPr>
            <w:tcW w:type="dxa" w:w="170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Estimation/mois (FCFA)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Abonnement Twilio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Plan Pay-as-you-go (sans abonnement fixe)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9"/>
              </w:rPr>
              <w:t>Numéro Twilio (long code)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b w:val="0"/>
                <w:sz w:val="19"/>
              </w:rPr>
              <w:t>Numéro d'envoi dédié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9"/>
              </w:rPr>
              <w:t>990 /mois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990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SMS sortant — Côte d'Ivoire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Notification NON_CONFORME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45 / SMS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2 250 (50 SMS)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9"/>
              </w:rPr>
              <w:t>SMS Twilio Verify (2FA)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b w:val="0"/>
                <w:sz w:val="19"/>
              </w:rPr>
              <w:t>Code authentification agents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9"/>
              </w:rPr>
              <w:t>30 / vérif.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900 (30 vérif.)</w:t>
            </w:r>
          </w:p>
        </w:tc>
      </w:tr>
      <w:tr>
        <w:tc>
          <w:tcPr>
            <w:tcW w:type="dxa" w:w="2551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685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  <w:t>TOTAL ESTIMÉ/MOIS</w:t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right"/>
            </w:pPr>
            <w:r>
              <w:rPr>
                <w:b/>
                <w:sz w:val="19"/>
              </w:rPr>
              <w:t>4 140</w:t>
            </w:r>
          </w:p>
        </w:tc>
      </w:tr>
      <w:tr>
        <w:tc>
          <w:tcPr>
            <w:tcW w:type="dxa" w:w="2551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3685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  <w:t>TOTAL ESTIMÉ/AN</w:t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right"/>
            </w:pPr>
            <w:r>
              <w:rPr>
                <w:b/>
                <w:sz w:val="19"/>
              </w:rPr>
              <w:t>49 680</w:t>
            </w:r>
          </w:p>
        </w:tc>
      </w:tr>
    </w:tbl>
    <w:p>
      <w:pPr>
        <w:spacing w:after="40" w:before="0"/>
        <w:jc w:val="left"/>
      </w:pPr>
      <w:r>
        <w:rPr>
          <w:b w:val="0"/>
          <w:color w:val="4A4A4A"/>
          <w:sz w:val="18"/>
        </w:rPr>
        <w:t>* Estimation basée sur 50 SMS NON_CONFORME + 30 connexions 2FA par mois.</w:t>
      </w:r>
    </w:p>
    <w:p/>
    <w:p>
      <w:pPr>
        <w:spacing w:before="240" w:after="80"/>
        <w:jc w:val="left"/>
        <w:pBdr>
          <w:bottom w:val="single" w:sz="6" w:space="4" w:color="00703C"/>
        </w:pBdr>
      </w:pPr>
      <w:r>
        <w:rPr>
          <w:b/>
          <w:color w:val="00703C"/>
          <w:sz w:val="26"/>
        </w:rPr>
        <w:t>4. Prestations de Développement &amp; Déploiement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4535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850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Jours</w:t>
            </w:r>
          </w:p>
        </w:tc>
        <w:tc>
          <w:tcPr>
            <w:tcW w:type="dxa" w:w="1701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Montant (FCFA)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Développement Backend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API FastAPI complète — dossiers, workflow, SMS, auth JWT, Sentry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15 j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450 000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9"/>
              </w:rPr>
              <w:t>Développement Frontend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9"/>
              </w:rPr>
              <w:t>Application React multi-services, modales, dashboard, upload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9"/>
              </w:rPr>
              <w:t>12 j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360 000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Migration base de données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Script SQL, nouvelles tables, vues, ENUMs Supabase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3 j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90 000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9"/>
              </w:rPr>
              <w:t>Déploiement VPS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9"/>
              </w:rPr>
              <w:t>Configuration Nginx, Docker, SSL, variables d'environnement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9"/>
              </w:rPr>
              <w:t>2 j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60 000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CI/CD GitHub Actions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Pipeline test + lint + build automatique (backend &amp; frontend)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1 j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30 000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9"/>
              </w:rPr>
              <w:t>Configuration DNS &amp; domaine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9"/>
              </w:rPr>
              <w:t>Pointage domaine, sous-domaine API, HTTPS Let's Encrypt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9"/>
              </w:rPr>
              <w:t>0.5 j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15 000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Tests &amp; recette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Tests unitaires, validation workflow complet, corrections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2 j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60 000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9"/>
              </w:rPr>
              <w:t>Documentation technique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9"/>
              </w:rPr>
              <w:t>Guide déploiement, variables .env, guide utilisateur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9"/>
              </w:rPr>
              <w:t>1 j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30 000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Formation utilisateurs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Prise en main agents (COURRIER, SPFEI, SCVAA, CONSERVATION)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1 j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30 000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b w:val="0"/>
                <w:sz w:val="19"/>
              </w:rPr>
              <w:t>Maintenance 3 mois incluse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 w:val="0"/>
                <w:sz w:val="19"/>
              </w:rPr>
              <w:t>Corrections de bugs, mises à jour mineures post-livraison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  <w:sz w:val="19"/>
              </w:rPr>
              <w:t>75 000</w:t>
            </w:r>
          </w:p>
        </w:tc>
      </w:tr>
      <w:tr>
        <w:tc>
          <w:tcPr>
            <w:tcW w:type="dxa" w:w="2551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4535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shd w:val="clear" w:color="auto" w:fill="EAF4EE"/>
          </w:tcPr>
          <w:p>
            <w:pPr>
              <w:jc w:val="left"/>
            </w:pPr>
            <w:r>
              <w:rPr>
                <w:b w:val="0"/>
                <w:sz w:val="19"/>
              </w:rPr>
              <w:t>SOUS-TOTAL DEV</w:t>
            </w:r>
          </w:p>
        </w:tc>
        <w:tc>
          <w:tcPr>
            <w:tcW w:type="dxa" w:w="1701"/>
            <w:shd w:val="clear" w:color="auto" w:fill="EAF4EE"/>
          </w:tcPr>
          <w:p>
            <w:pPr>
              <w:jc w:val="right"/>
            </w:pPr>
            <w:r>
              <w:rPr>
                <w:b/>
                <w:sz w:val="19"/>
              </w:rPr>
              <w:t>1 200 000</w:t>
            </w:r>
          </w:p>
        </w:tc>
      </w:tr>
    </w:tbl>
    <w:p/>
    <w:p>
      <w:pPr>
        <w:spacing w:before="240" w:after="80"/>
        <w:jc w:val="left"/>
        <w:pBdr>
          <w:bottom w:val="single" w:sz="6" w:space="4" w:color="00703C"/>
        </w:pBdr>
      </w:pPr>
      <w:r>
        <w:rPr>
          <w:b/>
          <w:color w:val="00703C"/>
          <w:sz w:val="26"/>
        </w:rPr>
        <w:t>5. Récapitulatif Général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102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1417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Fréquence</w:t>
            </w:r>
          </w:p>
        </w:tc>
        <w:tc>
          <w:tcPr>
            <w:tcW w:type="dxa" w:w="1984"/>
            <w:shd w:val="clear" w:color="auto" w:fill="00703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Montant (FCFA)</w:t>
            </w:r>
          </w:p>
        </w:tc>
      </w:tr>
      <w:tr>
        <w:tc>
          <w:tcPr>
            <w:tcW w:type="dxa" w:w="5102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Hébergement VPS (Hetzner CX22 + backup + IP)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Annuel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41 040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19"/>
              </w:rPr>
              <w:t>Nom de domaine .ci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9"/>
              </w:rPr>
              <w:t>Annuel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19 500</w:t>
            </w:r>
          </w:p>
        </w:tc>
      </w:tr>
      <w:tr>
        <w:tc>
          <w:tcPr>
            <w:tcW w:type="dxa" w:w="5102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Service SMS Twilio (estimation)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9"/>
              </w:rPr>
              <w:t>Annuel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</w:pPr>
            <w:r>
              <w:rPr>
                <w:b w:val="0"/>
                <w:sz w:val="19"/>
              </w:rPr>
              <w:t>49 680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>
              <w:rPr>
                <w:b w:val="0"/>
                <w:sz w:val="19"/>
              </w:rPr>
              <w:t>Prestations développement &amp; déploiement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b w:val="0"/>
                <w:sz w:val="19"/>
              </w:rPr>
              <w:t>Unique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b w:val="0"/>
                <w:sz w:val="19"/>
              </w:rPr>
              <w:t>1 200 000</w:t>
            </w:r>
          </w:p>
        </w:tc>
      </w:tr>
      <w:tr>
        <w:tc>
          <w:tcPr>
            <w:tcW w:type="dxa" w:w="5102"/>
            <w:shd w:val="clear" w:color="auto" w:fill="00703C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TOTAL GÉNÉRAL (1ère année)</w:t>
            </w:r>
          </w:p>
        </w:tc>
        <w:tc>
          <w:tcPr>
            <w:tcW w:type="dxa" w:w="1417"/>
            <w:shd w:val="clear" w:color="auto" w:fill="00703C"/>
          </w:tcPr>
          <w:p>
            <w:pPr>
              <w:jc w:val="left"/>
            </w:pPr>
            <w:r>
              <w:rPr>
                <w:b w:val="0"/>
                <w:color w:val="FFFFFF"/>
                <w:sz w:val="22"/>
              </w:rPr>
            </w:r>
          </w:p>
        </w:tc>
        <w:tc>
          <w:tcPr>
            <w:tcW w:type="dxa" w:w="1984"/>
            <w:shd w:val="clear" w:color="auto" w:fill="00703C"/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1 310 220</w:t>
            </w:r>
          </w:p>
        </w:tc>
      </w:tr>
      <w:tr>
        <w:tc>
          <w:tcPr>
            <w:tcW w:type="dxa" w:w="5102"/>
            <w:shd w:val="clear" w:color="auto" w:fill="FFF6EE"/>
          </w:tcPr>
          <w:p>
            <w:pPr>
              <w:jc w:val="left"/>
            </w:pPr>
            <w:r>
              <w:rPr>
                <w:b/>
                <w:color w:val="F47B20"/>
                <w:sz w:val="19"/>
              </w:rPr>
              <w:t>RENOUVELLEMENT ANNUEL (à partir de la 2ème année)</w:t>
            </w:r>
          </w:p>
        </w:tc>
        <w:tc>
          <w:tcPr>
            <w:tcW w:type="dxa" w:w="1417"/>
            <w:shd w:val="clear" w:color="auto" w:fill="FFF6EE"/>
          </w:tcPr>
          <w:p>
            <w:pPr>
              <w:jc w:val="left"/>
            </w:pPr>
            <w:r>
              <w:rPr>
                <w:b/>
                <w:color w:val="F47B20"/>
                <w:sz w:val="19"/>
              </w:rPr>
            </w:r>
          </w:p>
        </w:tc>
        <w:tc>
          <w:tcPr>
            <w:tcW w:type="dxa" w:w="1984"/>
            <w:shd w:val="clear" w:color="auto" w:fill="FFF6EE"/>
          </w:tcPr>
          <w:p>
            <w:pPr>
              <w:jc w:val="right"/>
            </w:pPr>
            <w:r>
              <w:rPr>
                <w:b/>
                <w:color w:val="F47B20"/>
                <w:sz w:val="19"/>
              </w:rPr>
              <w:t>110 220</w:t>
            </w:r>
          </w:p>
        </w:tc>
      </w:tr>
    </w:tbl>
    <w:p/>
    <w:p>
      <w:pPr>
        <w:spacing w:before="240" w:after="80"/>
        <w:jc w:val="left"/>
        <w:pBdr>
          <w:bottom w:val="single" w:sz="6" w:space="4" w:color="00703C"/>
        </w:pBdr>
      </w:pPr>
      <w:r>
        <w:rPr>
          <w:b/>
          <w:color w:val="00703C"/>
          <w:sz w:val="26"/>
        </w:rPr>
        <w:t>6. Conditions &amp; Modalités de Paiement</w:t>
      </w:r>
    </w:p>
    <w:p>
      <w:pPr>
        <w:spacing w:after="60" w:before="0"/>
        <w:jc w:val="left"/>
      </w:pPr>
      <w:r>
        <w:rPr>
          <w:b w:val="0"/>
          <w:color w:val="4A4A4A"/>
          <w:sz w:val="19"/>
        </w:rPr>
        <w:t>• Acompte de 40 % à la signature du devis (480 000 FCFA).</w:t>
      </w:r>
    </w:p>
    <w:p>
      <w:pPr>
        <w:spacing w:after="60" w:before="0"/>
        <w:jc w:val="left"/>
      </w:pPr>
      <w:r>
        <w:rPr>
          <w:b w:val="0"/>
          <w:color w:val="4A4A4A"/>
          <w:sz w:val="19"/>
        </w:rPr>
        <w:t>• 40 % à la livraison du backend et frontend déployés sur VPS (480 000 FCFA).</w:t>
      </w:r>
    </w:p>
    <w:p>
      <w:pPr>
        <w:spacing w:after="60" w:before="0"/>
        <w:jc w:val="left"/>
      </w:pPr>
      <w:r>
        <w:rPr>
          <w:b w:val="0"/>
          <w:color w:val="4A4A4A"/>
          <w:sz w:val="19"/>
        </w:rPr>
        <w:t>• Solde de 20 % après recette et validation par le client (240 000 FCFA).</w:t>
      </w:r>
    </w:p>
    <w:p>
      <w:pPr>
        <w:spacing w:after="60" w:before="0"/>
        <w:jc w:val="left"/>
      </w:pPr>
      <w:r>
        <w:rPr>
          <w:b w:val="0"/>
          <w:color w:val="4A4A4A"/>
          <w:sz w:val="19"/>
        </w:rPr>
        <w:t>• Les coûts d'hébergement, de domaine et de SMS sont à la charge du client et facturés directement par les prestataires tiers (Hetzner, registrar .ci, Twilio).</w:t>
      </w:r>
    </w:p>
    <w:p>
      <w:pPr>
        <w:spacing w:after="60" w:before="0"/>
        <w:jc w:val="left"/>
      </w:pPr>
      <w:r>
        <w:rPr>
          <w:b w:val="0"/>
          <w:color w:val="4A4A4A"/>
          <w:sz w:val="19"/>
        </w:rPr>
        <w:t>• La maintenance post-livraison couvre les corrections de bugs sur les fonctionnalités livrées. Toute nouvelle fonctionnalité fera l'objet d'un avenant.</w:t>
      </w:r>
    </w:p>
    <w:p>
      <w:pPr>
        <w:spacing w:after="60" w:before="0"/>
        <w:jc w:val="left"/>
      </w:pPr>
      <w:r>
        <w:rPr>
          <w:b w:val="0"/>
          <w:color w:val="4A4A4A"/>
          <w:sz w:val="19"/>
        </w:rPr>
        <w:t>• Devis valable 30 jours à compter de la date d'émission.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b/>
                <w:color w:val="00703C"/>
                <w:sz w:val="20"/>
              </w:rPr>
              <w:t>BON POUR ACCORD — CLIENT</w:t>
            </w:r>
          </w:p>
          <w:p>
            <w:pPr>
              <w:spacing w:after="800"/>
            </w:pPr>
            <w:r>
              <w:rPr>
                <w:color w:val="4A4A4A"/>
                <w:sz w:val="19"/>
              </w:rPr>
              <w:t>Signature :</w:t>
            </w:r>
          </w:p>
          <w:p>
            <w:pPr>
              <w:spacing w:after="40"/>
            </w:pPr>
            <w:r>
              <w:rPr>
                <w:b/>
                <w:color w:val="4A4A4A"/>
                <w:sz w:val="19"/>
              </w:rPr>
              <w:t>Madame SANDRINE</w:t>
              <w:br/>
              <w:t>Date : _______________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b/>
                <w:color w:val="00703C"/>
                <w:sz w:val="20"/>
              </w:rPr>
              <w:t>PRESTATAIRE — INZA</w:t>
            </w:r>
          </w:p>
          <w:p>
            <w:pPr>
              <w:spacing w:after="800"/>
            </w:pPr>
            <w:r>
              <w:rPr>
                <w:color w:val="4A4A4A"/>
                <w:sz w:val="19"/>
              </w:rPr>
              <w:t>Signature :</w:t>
            </w:r>
          </w:p>
          <w:p>
            <w:pPr>
              <w:spacing w:after="40"/>
            </w:pPr>
            <w:r>
              <w:rPr>
                <w:b/>
                <w:color w:val="4A4A4A"/>
                <w:sz w:val="19"/>
              </w:rPr>
              <w:t>INZA Ouat</w:t>
              <w:br/>
              <w:t>Date : _______________</w:t>
            </w:r>
          </w:p>
        </w:tc>
      </w:tr>
    </w:tbl>
    <w:p/>
    <w:p>
      <w:pPr>
        <w:spacing w:before="120"/>
        <w:jc w:val="center"/>
      </w:pPr>
      <w:r>
        <w:rPr>
          <w:color w:val="AAAAAA"/>
          <w:sz w:val="16"/>
        </w:rPr>
        <w:t>INZA DIGITAL SOLUTIONS — Devis N° INZA-2026-0401 — Confidentiel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