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rFonts w:ascii="Calibri" w:cs="Calibri" w:eastAsia="Calibri" w:hAnsi="Calibri"/>
          <w:b/>
          <w:bCs/>
          <w:color w:val="2C6E8E"/>
          <w:sz w:val="26"/>
          <w:szCs w:val="26"/>
        </w:rPr>
        <w:t xml:space="preserve">Week 3 Report</w:t>
      </w:r>
    </w:p>
    <w:p>
      <w:pPr>
        <w:spacing w:after="300"/>
        <w:jc w:val="center"/>
      </w:pPr>
      <w:r>
        <w:rPr>
          <w:rFonts w:ascii="Calibri" w:cs="Calibri" w:eastAsia="Calibri" w:hAnsi="Calibri"/>
          <w:b/>
          <w:bCs/>
          <w:color w:val="1B3A4B"/>
          <w:sz w:val="44"/>
          <w:szCs w:val="44"/>
        </w:rPr>
        <w:t xml:space="preserve">Exploratory Data Analysis and Visualization Plan</w:t>
      </w:r>
    </w:p>
    <w:p>
      <w:pPr>
        <w:spacing w:after="80"/>
        <w:jc w:val="center"/>
      </w:pPr>
      <w:r>
        <w:rPr>
          <w:rFonts w:ascii="Calibri" w:cs="Calibri" w:eastAsia="Calibri" w:hAnsi="Calibri"/>
          <w:i/>
          <w:iCs/>
          <w:color w:val="595959"/>
          <w:sz w:val="24"/>
          <w:szCs w:val="24"/>
        </w:rPr>
        <w:t xml:space="preserve">Project: Customer Churn Prediction — Telco Customer Churn Dataset</w:t>
      </w:r>
    </w:p>
    <w:p>
      <w:pPr>
        <w:spacing w:after="500"/>
        <w:jc w:val="center"/>
      </w:pPr>
      <w:r>
        <w:rPr>
          <w:rFonts w:ascii="Calibri" w:cs="Calibri" w:eastAsia="Calibri" w:hAnsi="Calibri"/>
          <w:color w:val="595959"/>
          <w:sz w:val="22"/>
          <w:szCs w:val="22"/>
        </w:rPr>
        <w:t xml:space="preserve">Data Analytics Internship – Weekly Task Submission</w:t>
      </w:r>
    </w:p>
    <w:p>
      <w:pPr>
        <w:spacing w:after="200"/>
      </w:pPr>
    </w:p>
    <w:p>
      <w:pPr>
        <w:pStyle w:val="Heading1"/>
        <w:spacing w:after="160" w:before="360"/>
      </w:pPr>
      <w:r>
        <w:rPr>
          <w:rFonts w:ascii="Calibri" w:cs="Calibri" w:eastAsia="Calibri" w:hAnsi="Calibri"/>
          <w:b/>
          <w:bCs/>
          <w:color w:val="2C6E8E"/>
          <w:sz w:val="30"/>
          <w:szCs w:val="30"/>
        </w:rPr>
        <w:t xml:space="preserve">1. Objective</w:t>
      </w:r>
    </w:p>
    <w:p>
      <w:pPr>
        <w:spacing w:after="160" w:line="288"/>
      </w:pPr>
      <w:r>
        <w:rPr>
          <w:rFonts w:ascii="Calibri" w:cs="Calibri" w:eastAsia="Calibri" w:hAnsi="Calibri"/>
          <w:color w:val="222222"/>
          <w:sz w:val="22"/>
          <w:szCs w:val="22"/>
        </w:rPr>
        <w:t xml:space="preserve">This report documents a detailed, execution-ready plan for conducting Exploratory Data Analysis (EDA) and visualization on the Telco Customer Churn dataset. The plan defines the key business questions that will guide the analysis, the statistical summarization methods to be used, the specific visualization techniques mapped to each type of variable, the code structure that will implement the analysis in Python (pandas, Matplotlib, Seaborn), a mock analysis outlining anticipated insights, and a timeline that fits the work into a 30–35 hour window. The goal of this phase is to expose the intrinsic characteristics of the data — distributions, relationships, and anomalies — before any predictive modelling is attempted, so that later modelling choices (feature engineering, handling of class imbalance, encoding strategy) are grounded in evidence rather than assumption.</w:t>
      </w:r>
    </w:p>
    <w:p>
      <w:pPr>
        <w:pStyle w:val="Heading1"/>
        <w:spacing w:after="160" w:before="360"/>
      </w:pPr>
      <w:r>
        <w:rPr>
          <w:rFonts w:ascii="Calibri" w:cs="Calibri" w:eastAsia="Calibri" w:hAnsi="Calibri"/>
          <w:b/>
          <w:bCs/>
          <w:color w:val="2C6E8E"/>
          <w:sz w:val="30"/>
          <w:szCs w:val="30"/>
        </w:rPr>
        <w:t xml:space="preserve">2. Key EDA Questions</w:t>
      </w:r>
    </w:p>
    <w:p>
      <w:pPr>
        <w:spacing w:after="160" w:line="288"/>
      </w:pPr>
      <w:r>
        <w:rPr>
          <w:rFonts w:ascii="Calibri" w:cs="Calibri" w:eastAsia="Calibri" w:hAnsi="Calibri"/>
          <w:color w:val="222222"/>
          <w:sz w:val="22"/>
          <w:szCs w:val="22"/>
        </w:rPr>
        <w:t xml:space="preserve">The EDA is structured around the following questions, each tied directly to the business objective of understanding and predicting customer churn:</w:t>
      </w:r>
    </w:p>
    <w:p>
      <w:pPr>
        <w:pStyle w:val="ListParagraph"/>
        <w:numPr>
          <w:ilvl w:val="0"/>
          <w:numId w:val="2"/>
        </w:numPr>
        <w:spacing w:after="90"/>
      </w:pPr>
      <w:r>
        <w:rPr>
          <w:rFonts w:ascii="Calibri" w:cs="Calibri" w:eastAsia="Calibri" w:hAnsi="Calibri"/>
          <w:color w:val="222222"/>
          <w:sz w:val="22"/>
          <w:szCs w:val="22"/>
        </w:rPr>
        <w:t xml:space="preserve">Which customer segments (contract type, tenure band, internet service type) show the highest churn rate, and is the difference large enough to be actionable for retention targeting?</w:t>
      </w:r>
    </w:p>
    <w:p>
      <w:pPr>
        <w:pStyle w:val="ListParagraph"/>
        <w:numPr>
          <w:ilvl w:val="0"/>
          <w:numId w:val="2"/>
        </w:numPr>
        <w:spacing w:after="90"/>
      </w:pPr>
      <w:r>
        <w:rPr>
          <w:rFonts w:ascii="Calibri" w:cs="Calibri" w:eastAsia="Calibri" w:hAnsi="Calibri"/>
          <w:color w:val="222222"/>
          <w:sz w:val="22"/>
          <w:szCs w:val="22"/>
        </w:rPr>
        <w:t xml:space="preserve">Does MonthlyCharges or TotalCharges show a measurable relationship with churn, and does this differ across contract types?</w:t>
      </w:r>
    </w:p>
    <w:p>
      <w:pPr>
        <w:pStyle w:val="ListParagraph"/>
        <w:numPr>
          <w:ilvl w:val="0"/>
          <w:numId w:val="2"/>
        </w:numPr>
        <w:spacing w:after="90"/>
      </w:pPr>
      <w:r>
        <w:rPr>
          <w:rFonts w:ascii="Calibri" w:cs="Calibri" w:eastAsia="Calibri" w:hAnsi="Calibri"/>
          <w:color w:val="222222"/>
          <w:sz w:val="22"/>
          <w:szCs w:val="22"/>
        </w:rPr>
        <w:t xml:space="preserve">Are customers without add-on services (TechSupport, OnlineSecurity, DeviceProtection) more likely to churn than those with these services?</w:t>
      </w:r>
    </w:p>
    <w:p>
      <w:pPr>
        <w:pStyle w:val="ListParagraph"/>
        <w:numPr>
          <w:ilvl w:val="0"/>
          <w:numId w:val="2"/>
        </w:numPr>
        <w:spacing w:after="90"/>
      </w:pPr>
      <w:r>
        <w:rPr>
          <w:rFonts w:ascii="Calibri" w:cs="Calibri" w:eastAsia="Calibri" w:hAnsi="Calibri"/>
          <w:color w:val="222222"/>
          <w:sz w:val="22"/>
          <w:szCs w:val="22"/>
        </w:rPr>
        <w:t xml:space="preserve">Does payment method (e.g. electronic check vs. automatic bank transfer) correlate with churn, potentially indicating friction in the billing experience?</w:t>
      </w:r>
    </w:p>
    <w:p>
      <w:pPr>
        <w:pStyle w:val="ListParagraph"/>
        <w:numPr>
          <w:ilvl w:val="0"/>
          <w:numId w:val="2"/>
        </w:numPr>
        <w:spacing w:after="90"/>
      </w:pPr>
      <w:r>
        <w:rPr>
          <w:rFonts w:ascii="Calibri" w:cs="Calibri" w:eastAsia="Calibri" w:hAnsi="Calibri"/>
          <w:color w:val="222222"/>
          <w:sz w:val="22"/>
          <w:szCs w:val="22"/>
        </w:rPr>
        <w:t xml:space="preserve">Are there outliers or data quality issues in tenure, MonthlyCharges, or TotalCharges that must be resolved before they distort later statistical models?</w:t>
      </w:r>
    </w:p>
    <w:p>
      <w:pPr>
        <w:pStyle w:val="ListParagraph"/>
        <w:numPr>
          <w:ilvl w:val="0"/>
          <w:numId w:val="2"/>
        </w:numPr>
        <w:spacing w:after="90"/>
      </w:pPr>
      <w:r>
        <w:rPr>
          <w:rFonts w:ascii="Calibri" w:cs="Calibri" w:eastAsia="Calibri" w:hAnsi="Calibri"/>
          <w:color w:val="222222"/>
          <w:sz w:val="22"/>
          <w:szCs w:val="22"/>
        </w:rPr>
        <w:t xml:space="preserve">Is the target variable (Churn) imbalanced, and if so, by how much — does this need to be addressed at the EDA stage so modelling assumptions can be planned correctly?</w:t>
      </w:r>
    </w:p>
    <w:p>
      <w:pPr>
        <w:spacing w:after="160" w:line="288"/>
      </w:pPr>
      <w:r>
        <w:rPr>
          <w:rFonts w:ascii="Calibri" w:cs="Calibri" w:eastAsia="Calibri" w:hAnsi="Calibri"/>
          <w:color w:val="222222"/>
          <w:sz w:val="22"/>
          <w:szCs w:val="22"/>
        </w:rPr>
        <w:t xml:space="preserve">Each question above is answered later in this document with the specific chart type, library, and code path that will produce the evidence needed.</w:t>
      </w:r>
    </w:p>
    <w:p>
      <w:pPr>
        <w:pStyle w:val="Heading1"/>
        <w:spacing w:after="160" w:before="360"/>
      </w:pPr>
      <w:r>
        <w:rPr>
          <w:rFonts w:ascii="Calibri" w:cs="Calibri" w:eastAsia="Calibri" w:hAnsi="Calibri"/>
          <w:b/>
          <w:bCs/>
          <w:color w:val="2C6E8E"/>
          <w:sz w:val="30"/>
          <w:szCs w:val="30"/>
        </w:rPr>
        <w:t xml:space="preserve">3. Statistical Summarization Methods</w:t>
      </w:r>
    </w:p>
    <w:p>
      <w:pPr>
        <w:spacing w:after="160" w:line="288"/>
      </w:pPr>
      <w:r>
        <w:rPr>
          <w:rFonts w:ascii="Calibri" w:cs="Calibri" w:eastAsia="Calibri" w:hAnsi="Calibri"/>
          <w:color w:val="222222"/>
          <w:sz w:val="22"/>
          <w:szCs w:val="22"/>
        </w:rPr>
        <w:t xml:space="preserve">Before any visualization is produced, the dataset will be summarized numerically using the following methods:</w:t>
      </w:r>
    </w:p>
    <w:p>
      <w:pPr>
        <w:pStyle w:val="ListParagraph"/>
        <w:numPr>
          <w:ilvl w:val="0"/>
          <w:numId w:val="3"/>
        </w:numPr>
        <w:spacing w:after="90"/>
      </w:pPr>
      <w:r>
        <w:rPr>
          <w:rFonts w:ascii="Calibri" w:cs="Calibri" w:eastAsia="Calibri" w:hAnsi="Calibri"/>
          <w:color w:val="222222"/>
          <w:sz w:val="22"/>
          <w:szCs w:val="22"/>
        </w:rPr>
        <w:t xml:space="preserve">df.info() and df.isnull().sum() — confirm data types and quantify missing values (notably TotalCharges, which is known to load as an object type due to blank strings for new customers).</w:t>
      </w:r>
    </w:p>
    <w:p>
      <w:pPr>
        <w:pStyle w:val="ListParagraph"/>
        <w:numPr>
          <w:ilvl w:val="0"/>
          <w:numId w:val="3"/>
        </w:numPr>
        <w:spacing w:after="90"/>
      </w:pPr>
      <w:r>
        <w:rPr>
          <w:rFonts w:ascii="Calibri" w:cs="Calibri" w:eastAsia="Calibri" w:hAnsi="Calibri"/>
          <w:color w:val="222222"/>
          <w:sz w:val="22"/>
          <w:szCs w:val="22"/>
        </w:rPr>
        <w:t xml:space="preserve">df.describe() — mean, median, standard deviation, min/max and quartiles for tenure, MonthlyCharges and TotalCharges, used to spot skew and possible outliers before plotting.</w:t>
      </w:r>
    </w:p>
    <w:p>
      <w:pPr>
        <w:pStyle w:val="ListParagraph"/>
        <w:numPr>
          <w:ilvl w:val="0"/>
          <w:numId w:val="3"/>
        </w:numPr>
        <w:spacing w:after="90"/>
      </w:pPr>
      <w:r>
        <w:rPr>
          <w:rFonts w:ascii="Calibri" w:cs="Calibri" w:eastAsia="Calibri" w:hAnsi="Calibri"/>
          <w:color w:val="222222"/>
          <w:sz w:val="22"/>
          <w:szCs w:val="22"/>
        </w:rPr>
        <w:t xml:space="preserve">df['Churn'].value_counts(normalize=True) — quantify class balance (Telco churn is typically ~26.5% positive class), which determines whether resampling or class weighting needs to be flagged for the modelling phase.</w:t>
      </w:r>
    </w:p>
    <w:p>
      <w:pPr>
        <w:pStyle w:val="ListParagraph"/>
        <w:numPr>
          <w:ilvl w:val="0"/>
          <w:numId w:val="3"/>
        </w:numPr>
        <w:spacing w:after="90"/>
      </w:pPr>
      <w:r>
        <w:rPr>
          <w:rFonts w:ascii="Calibri" w:cs="Calibri" w:eastAsia="Calibri" w:hAnsi="Calibri"/>
          <w:color w:val="222222"/>
          <w:sz w:val="22"/>
          <w:szCs w:val="22"/>
        </w:rPr>
        <w:t xml:space="preserve">df.groupby('Churn').mean(numeric_only=True) — compare the average tenure, MonthlyCharges and TotalCharges between churned and retained customers as a first, numeric signal ahead of visual confirmation.</w:t>
      </w:r>
    </w:p>
    <w:p>
      <w:pPr>
        <w:pStyle w:val="ListParagraph"/>
        <w:numPr>
          <w:ilvl w:val="0"/>
          <w:numId w:val="3"/>
        </w:numPr>
        <w:spacing w:after="90"/>
      </w:pPr>
      <w:r>
        <w:rPr>
          <w:rFonts w:ascii="Calibri" w:cs="Calibri" w:eastAsia="Calibri" w:hAnsi="Calibri"/>
          <w:color w:val="222222"/>
          <w:sz w:val="22"/>
          <w:szCs w:val="22"/>
        </w:rPr>
        <w:t xml:space="preserve">df[col].value_counts() per categorical column (Contract, InternetService, PaymentMethod, etc.) — confirm category frequencies so rare categories are not misread as trends in later plots.</w:t>
      </w:r>
    </w:p>
    <w:p>
      <w:pPr>
        <w:pStyle w:val="ListParagraph"/>
        <w:numPr>
          <w:ilvl w:val="0"/>
          <w:numId w:val="3"/>
        </w:numPr>
        <w:spacing w:after="90"/>
      </w:pPr>
      <w:r>
        <w:rPr>
          <w:rFonts w:ascii="Calibri" w:cs="Calibri" w:eastAsia="Calibri" w:hAnsi="Calibri"/>
          <w:color w:val="222222"/>
          <w:sz w:val="22"/>
          <w:szCs w:val="22"/>
        </w:rPr>
        <w:t xml:space="preserve">Skewness (df[col].skew()) on the three numeric columns — determines whether a log transform should be considered before modelling, flagged here rather than assumed.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AF3F1" w:sz="2"/>
              <w:left w:val="single" w:color="4CAA95" w:sz="24"/>
              <w:bottom w:val="single" w:color="EAF3F1" w:sz="2"/>
              <w:right w:val="single" w:color="EAF3F1" w:sz="2"/>
            </w:tcBorders>
            <w:shd w:fill="EAF3F1" w:val="clear"/>
            <w:tcMar>
              <w:top w:type="dxa" w:w="160"/>
              <w:left w:type="dxa" w:w="240"/>
              <w:bottom w:type="dxa" w:w="160"/>
              <w:right w:type="dxa" w:w="200"/>
            </w:tcMar>
          </w:tcPr>
          <w:p>
            <w:pPr>
              <w:spacing w:after="60"/>
            </w:pPr>
            <w:r>
              <w:rPr>
                <w:rFonts w:ascii="Calibri" w:cs="Calibri" w:eastAsia="Calibri" w:hAnsi="Calibri"/>
                <w:b/>
                <w:bCs/>
                <w:color w:val="4CAA95"/>
                <w:sz w:val="18"/>
                <w:szCs w:val="18"/>
              </w:rPr>
              <w:t xml:space="preserve">EXAMPLE</w:t>
            </w:r>
          </w:p>
          <w:p>
            <w:pPr>
              <w:spacing w:after="0" w:line="276"/>
            </w:pPr>
            <w:r>
              <w:rPr>
                <w:rFonts w:ascii="Calibri" w:cs="Calibri" w:eastAsia="Calibri" w:hAnsi="Calibri"/>
                <w:color w:val="222222"/>
                <w:sz w:val="22"/>
                <w:szCs w:val="22"/>
              </w:rPr>
              <w:t xml:space="preserve">Running df['TotalCharges'].isnull().sum() is expected to return a small number of rows (historically 11 in this dataset). Rather than imputing blindly, each of these rows will first be cross-checked against tenure. If tenure = 0 for all of them, this confirms the missingness is structural (brand-new customers who have not yet been billed) rather than a data-entry fault, and the correct treatment is to set TotalCharges = 0 for these rows — not to impute a mean, which would fabricate a billing history that does not exist.</w:t>
            </w:r>
          </w:p>
        </w:tc>
      </w:tr>
    </w:tbl>
    <w:p>
      <w:pPr>
        <w:spacing w:after="200"/>
      </w:pPr>
    </w:p>
    <w:p>
      <w:pPr>
        <w:pStyle w:val="Heading1"/>
        <w:spacing w:after="160" w:before="360"/>
      </w:pPr>
      <w:r>
        <w:rPr>
          <w:rFonts w:ascii="Calibri" w:cs="Calibri" w:eastAsia="Calibri" w:hAnsi="Calibri"/>
          <w:b/>
          <w:bCs/>
          <w:color w:val="2C6E8E"/>
          <w:sz w:val="30"/>
          <w:szCs w:val="30"/>
        </w:rPr>
        <w:t xml:space="preserve">4. Visualization Techniques and Selection Criteria</w:t>
      </w:r>
    </w:p>
    <w:p>
      <w:pPr>
        <w:spacing w:after="160" w:line="288"/>
      </w:pPr>
      <w:r>
        <w:rPr>
          <w:rFonts w:ascii="Calibri" w:cs="Calibri" w:eastAsia="Calibri" w:hAnsi="Calibri"/>
          <w:color w:val="222222"/>
          <w:sz w:val="22"/>
          <w:szCs w:val="22"/>
        </w:rPr>
        <w:t xml:space="preserve">Each chart type below is chosen based on the data type it is applied to and the specific question it answers, rather than used generically: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200"/>
        <w:gridCol w:w="2450"/>
      </w:tblGrid>
      <w:tr>
        <w:trPr>
          <w:tblHeader/>
        </w:trPr>
        <w:tc>
          <w:tcPr>
            <w:tcW w:type="dxa" w:w="2600"/>
            <w:shd w:fill="2C6E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Data / Question</w:t>
            </w:r>
          </w:p>
        </w:tc>
        <w:tc>
          <w:tcPr>
            <w:tcW w:type="dxa" w:w="2100"/>
            <w:shd w:fill="2C6E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Chart Type</w:t>
            </w:r>
          </w:p>
        </w:tc>
        <w:tc>
          <w:tcPr>
            <w:tcW w:type="dxa" w:w="2200"/>
            <w:shd w:fill="2C6E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Library</w:t>
            </w:r>
          </w:p>
        </w:tc>
        <w:tc>
          <w:tcPr>
            <w:tcW w:type="dxa" w:w="2450"/>
            <w:shd w:fill="2C6E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Why this chart</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Churn distribution
(single categorical)</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Count plot / pie chart</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Seaborn (countplot)</w:t>
            </w:r>
          </w:p>
        </w:tc>
        <w:tc>
          <w:tcPr>
            <w:tcW w:type="dxa" w:w="24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Shows class balance directly — confirms whether imbalance handling is needed.</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Tenure, MonthlyCharges,
TotalCharges (numeric)</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Histogram + KDE</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Seaborn (histplot)</w:t>
            </w:r>
          </w:p>
        </w:tc>
        <w:tc>
          <w:tcPr>
            <w:tcW w:type="dxa" w:w="24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Reveals shape of distribution (skew, multi-modality) that describe() alone cannot show.</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Categorical vs Churn
(Contract, InternetService,
PaymentMethod)</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Stacked / grouped bar chart</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Seaborn (countplot, hue='Churn')</w:t>
            </w:r>
          </w:p>
        </w:tc>
        <w:tc>
          <w:tcPr>
            <w:tcW w:type="dxa" w:w="24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Directly compares churn rate across category levels — answers Q1, Q3, Q4 visually.</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Numeric vs Churn
(tenure, MonthlyCharges)</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Box plot / violin plot</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Seaborn (boxplot, x='Churn')</w:t>
            </w:r>
          </w:p>
        </w:tc>
        <w:tc>
          <w:tcPr>
            <w:tcW w:type="dxa" w:w="24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Shows median and spread differences between churned and retained groups, and flags outliers simultaneously.</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Outlier screening
(TotalCharges, MonthlyCharges)</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Box plot with IQR whiskers</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Seaborn / Matplotlib</w:t>
            </w:r>
          </w:p>
        </w:tc>
        <w:tc>
          <w:tcPr>
            <w:tcW w:type="dxa" w:w="24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IQR-based whiskers make outliers visually explicit before they are handled programmatically.</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Relationship between two
numeric variables</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Scatter plot (coloured by Churn)</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Seaborn (scatterplot, hue='Churn')</w:t>
            </w:r>
          </w:p>
        </w:tc>
        <w:tc>
          <w:tcPr>
            <w:tcW w:type="dxa" w:w="24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Shows whether churned customers cluster in a specific tenure / charges region.</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Correlation across all
numeric features</w:t>
            </w:r>
          </w:p>
        </w:tc>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Heatmap</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Seaborn (heatmap)</w:t>
            </w:r>
          </w:p>
        </w:tc>
        <w:tc>
          <w:tcPr>
            <w:tcW w:type="dxa" w:w="24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Condenses pairwise correlation into one view to catch multicollinearity before modelling.</w:t>
            </w:r>
          </w:p>
        </w:tc>
      </w:tr>
    </w:tbl>
    <w:p>
      <w:pPr>
        <w:spacing w:after="200"/>
      </w:pPr>
    </w:p>
    <w:p>
      <w:pPr>
        <w:pStyle w:val="Heading1"/>
        <w:spacing w:after="160" w:before="360"/>
      </w:pPr>
      <w:r>
        <w:rPr>
          <w:rFonts w:ascii="Calibri" w:cs="Calibri" w:eastAsia="Calibri" w:hAnsi="Calibri"/>
          <w:b/>
          <w:bCs/>
          <w:color w:val="2C6E8E"/>
          <w:sz w:val="30"/>
          <w:szCs w:val="30"/>
        </w:rPr>
        <w:t xml:space="preserve">5. Code Structure</w:t>
      </w:r>
    </w:p>
    <w:p>
      <w:pPr>
        <w:spacing w:after="160" w:line="288"/>
      </w:pPr>
      <w:r>
        <w:rPr>
          <w:rFonts w:ascii="Calibri" w:cs="Calibri" w:eastAsia="Calibri" w:hAnsi="Calibri"/>
          <w:color w:val="222222"/>
          <w:sz w:val="22"/>
          <w:szCs w:val="22"/>
        </w:rPr>
        <w:t xml:space="preserve">The EDA will be implemented as a small set of reusable functions rather than one long script, so each step in Section 2 can be re-run independently while the report is being written: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40"/>
            </w:pPr>
            <w:r>
              <w:rPr>
                <w:rFonts w:ascii="Consolas" w:cs="Consolas" w:eastAsia="Consolas" w:hAnsi="Consolas"/>
                <w:color w:val="1B1B1B"/>
                <w:sz w:val="19"/>
                <w:szCs w:val="19"/>
              </w:rPr>
              <w:t xml:space="preserve">import pandas as pd</w:t>
            </w:r>
          </w:p>
          <w:p>
            <w:pPr>
              <w:spacing w:after="40"/>
            </w:pPr>
            <w:r>
              <w:rPr>
                <w:rFonts w:ascii="Consolas" w:cs="Consolas" w:eastAsia="Consolas" w:hAnsi="Consolas"/>
                <w:color w:val="1B1B1B"/>
                <w:sz w:val="19"/>
                <w:szCs w:val="19"/>
              </w:rPr>
              <w:t xml:space="preserve">import matplotlib.pyplot as plt</w:t>
            </w:r>
          </w:p>
          <w:p>
            <w:pPr>
              <w:spacing w:after="40"/>
            </w:pPr>
            <w:r>
              <w:rPr>
                <w:rFonts w:ascii="Consolas" w:cs="Consolas" w:eastAsia="Consolas" w:hAnsi="Consolas"/>
                <w:color w:val="1B1B1B"/>
                <w:sz w:val="19"/>
                <w:szCs w:val="19"/>
              </w:rPr>
              <w:t xml:space="preserve">import seaborn as sns</w:t>
            </w:r>
          </w:p>
          <w:p>
            <w:pPr>
              <w:spacing w:after="40"/>
            </w:pPr>
            <w:r>
              <w:rPr>
                <w:rFonts w:ascii="Consolas" w:cs="Consolas" w:eastAsia="Consolas" w:hAnsi="Consolas"/>
                <w:color w:val="1B1B1B"/>
                <w:sz w:val="19"/>
                <w:szCs w:val="19"/>
              </w:rPr>
              <w:t xml:space="preserve"> </w:t>
            </w:r>
          </w:p>
          <w:p>
            <w:pPr>
              <w:spacing w:after="40"/>
            </w:pPr>
            <w:r>
              <w:rPr>
                <w:rFonts w:ascii="Consolas" w:cs="Consolas" w:eastAsia="Consolas" w:hAnsi="Consolas"/>
                <w:color w:val="1B1B1B"/>
                <w:sz w:val="19"/>
                <w:szCs w:val="19"/>
              </w:rPr>
              <w:t xml:space="preserve">def load_data(path):</w:t>
            </w:r>
          </w:p>
          <w:p>
            <w:pPr>
              <w:spacing w:after="40"/>
            </w:pPr>
            <w:r>
              <w:rPr>
                <w:rFonts w:ascii="Consolas" w:cs="Consolas" w:eastAsia="Consolas" w:hAnsi="Consolas"/>
                <w:color w:val="1B1B1B"/>
                <w:sz w:val="19"/>
                <w:szCs w:val="19"/>
              </w:rPr>
              <w:t xml:space="preserve">    df = pd.read_csv(path)</w:t>
            </w:r>
          </w:p>
          <w:p>
            <w:pPr>
              <w:spacing w:after="40"/>
            </w:pPr>
            <w:r>
              <w:rPr>
                <w:rFonts w:ascii="Consolas" w:cs="Consolas" w:eastAsia="Consolas" w:hAnsi="Consolas"/>
                <w:color w:val="1B1B1B"/>
                <w:sz w:val="19"/>
                <w:szCs w:val="19"/>
              </w:rPr>
              <w:t xml:space="preserve">    df['TotalCharges'] = pd.to_numeric(df['TotalCharges'], errors='coerce')</w:t>
            </w:r>
          </w:p>
          <w:p>
            <w:pPr>
              <w:spacing w:after="40"/>
            </w:pPr>
            <w:r>
              <w:rPr>
                <w:rFonts w:ascii="Consolas" w:cs="Consolas" w:eastAsia="Consolas" w:hAnsi="Consolas"/>
                <w:color w:val="1B1B1B"/>
                <w:sz w:val="19"/>
                <w:szCs w:val="19"/>
              </w:rPr>
              <w:t xml:space="preserve">    return df</w:t>
            </w:r>
          </w:p>
          <w:p>
            <w:pPr>
              <w:spacing w:after="40"/>
            </w:pPr>
            <w:r>
              <w:rPr>
                <w:rFonts w:ascii="Consolas" w:cs="Consolas" w:eastAsia="Consolas" w:hAnsi="Consolas"/>
                <w:color w:val="1B1B1B"/>
                <w:sz w:val="19"/>
                <w:szCs w:val="19"/>
              </w:rPr>
              <w:t xml:space="preserve"> </w:t>
            </w:r>
          </w:p>
          <w:p>
            <w:pPr>
              <w:spacing w:after="40"/>
            </w:pPr>
            <w:r>
              <w:rPr>
                <w:rFonts w:ascii="Consolas" w:cs="Consolas" w:eastAsia="Consolas" w:hAnsi="Consolas"/>
                <w:color w:val="1B1B1B"/>
                <w:sz w:val="19"/>
                <w:szCs w:val="19"/>
              </w:rPr>
              <w:t xml:space="preserve">def summary_stats(df):</w:t>
            </w:r>
          </w:p>
          <w:p>
            <w:pPr>
              <w:spacing w:after="40"/>
            </w:pPr>
            <w:r>
              <w:rPr>
                <w:rFonts w:ascii="Consolas" w:cs="Consolas" w:eastAsia="Consolas" w:hAnsi="Consolas"/>
                <w:color w:val="1B1B1B"/>
                <w:sz w:val="19"/>
                <w:szCs w:val="19"/>
              </w:rPr>
              <w:t xml:space="preserve">    print(df.info())</w:t>
            </w:r>
          </w:p>
          <w:p>
            <w:pPr>
              <w:spacing w:after="40"/>
            </w:pPr>
            <w:r>
              <w:rPr>
                <w:rFonts w:ascii="Consolas" w:cs="Consolas" w:eastAsia="Consolas" w:hAnsi="Consolas"/>
                <w:color w:val="1B1B1B"/>
                <w:sz w:val="19"/>
                <w:szCs w:val="19"/>
              </w:rPr>
              <w:t xml:space="preserve">    print(df.describe())</w:t>
            </w:r>
          </w:p>
          <w:p>
            <w:pPr>
              <w:spacing w:after="40"/>
            </w:pPr>
            <w:r>
              <w:rPr>
                <w:rFonts w:ascii="Consolas" w:cs="Consolas" w:eastAsia="Consolas" w:hAnsi="Consolas"/>
                <w:color w:val="1B1B1B"/>
                <w:sz w:val="19"/>
                <w:szCs w:val="19"/>
              </w:rPr>
              <w:t xml:space="preserve">    print(df['Churn'].value_counts(normalize=True))</w:t>
            </w:r>
          </w:p>
          <w:p>
            <w:pPr>
              <w:spacing w:after="40"/>
            </w:pPr>
            <w:r>
              <w:rPr>
                <w:rFonts w:ascii="Consolas" w:cs="Consolas" w:eastAsia="Consolas" w:hAnsi="Consolas"/>
                <w:color w:val="1B1B1B"/>
                <w:sz w:val="19"/>
                <w:szCs w:val="19"/>
              </w:rPr>
              <w:t xml:space="preserve"> </w:t>
            </w:r>
          </w:p>
          <w:p>
            <w:pPr>
              <w:spacing w:after="40"/>
            </w:pPr>
            <w:r>
              <w:rPr>
                <w:rFonts w:ascii="Consolas" w:cs="Consolas" w:eastAsia="Consolas" w:hAnsi="Consolas"/>
                <w:color w:val="1B1B1B"/>
                <w:sz w:val="19"/>
                <w:szCs w:val="19"/>
              </w:rPr>
              <w:t xml:space="preserve">def plot_categorical_vs_churn(df, col):</w:t>
            </w:r>
          </w:p>
          <w:p>
            <w:pPr>
              <w:spacing w:after="40"/>
            </w:pPr>
            <w:r>
              <w:rPr>
                <w:rFonts w:ascii="Consolas" w:cs="Consolas" w:eastAsia="Consolas" w:hAnsi="Consolas"/>
                <w:color w:val="1B1B1B"/>
                <w:sz w:val="19"/>
                <w:szCs w:val="19"/>
              </w:rPr>
              <w:t xml:space="preserve">    sns.countplot(data=df, x=col, hue='Churn')</w:t>
            </w:r>
          </w:p>
          <w:p>
            <w:pPr>
              <w:spacing w:after="40"/>
            </w:pPr>
            <w:r>
              <w:rPr>
                <w:rFonts w:ascii="Consolas" w:cs="Consolas" w:eastAsia="Consolas" w:hAnsi="Consolas"/>
                <w:color w:val="1B1B1B"/>
                <w:sz w:val="19"/>
                <w:szCs w:val="19"/>
              </w:rPr>
              <w:t xml:space="preserve">    plt.title(f'{col} vs Churn')</w:t>
            </w:r>
          </w:p>
          <w:p>
            <w:pPr>
              <w:spacing w:after="40"/>
            </w:pPr>
            <w:r>
              <w:rPr>
                <w:rFonts w:ascii="Consolas" w:cs="Consolas" w:eastAsia="Consolas" w:hAnsi="Consolas"/>
                <w:color w:val="1B1B1B"/>
                <w:sz w:val="19"/>
                <w:szCs w:val="19"/>
              </w:rPr>
              <w:t xml:space="preserve">    plt.xticks(rotation=30)</w:t>
            </w:r>
          </w:p>
          <w:p>
            <w:pPr>
              <w:spacing w:after="40"/>
            </w:pPr>
            <w:r>
              <w:rPr>
                <w:rFonts w:ascii="Consolas" w:cs="Consolas" w:eastAsia="Consolas" w:hAnsi="Consolas"/>
                <w:color w:val="1B1B1B"/>
                <w:sz w:val="19"/>
                <w:szCs w:val="19"/>
              </w:rPr>
              <w:t xml:space="preserve">    plt.tight_layout()</w:t>
            </w:r>
          </w:p>
          <w:p>
            <w:pPr>
              <w:spacing w:after="40"/>
            </w:pPr>
            <w:r>
              <w:rPr>
                <w:rFonts w:ascii="Consolas" w:cs="Consolas" w:eastAsia="Consolas" w:hAnsi="Consolas"/>
                <w:color w:val="1B1B1B"/>
                <w:sz w:val="19"/>
                <w:szCs w:val="19"/>
              </w:rPr>
              <w:t xml:space="preserve"> </w:t>
            </w:r>
          </w:p>
          <w:p>
            <w:pPr>
              <w:spacing w:after="40"/>
            </w:pPr>
            <w:r>
              <w:rPr>
                <w:rFonts w:ascii="Consolas" w:cs="Consolas" w:eastAsia="Consolas" w:hAnsi="Consolas"/>
                <w:color w:val="1B1B1B"/>
                <w:sz w:val="19"/>
                <w:szCs w:val="19"/>
              </w:rPr>
              <w:t xml:space="preserve">def plot_numeric_distribution(df, col):</w:t>
            </w:r>
          </w:p>
          <w:p>
            <w:pPr>
              <w:spacing w:after="40"/>
            </w:pPr>
            <w:r>
              <w:rPr>
                <w:rFonts w:ascii="Consolas" w:cs="Consolas" w:eastAsia="Consolas" w:hAnsi="Consolas"/>
                <w:color w:val="1B1B1B"/>
                <w:sz w:val="19"/>
                <w:szCs w:val="19"/>
              </w:rPr>
              <w:t xml:space="preserve">    sns.histplot(data=df, x=col, hue='Churn', kde=True, element='step')</w:t>
            </w:r>
          </w:p>
          <w:p>
            <w:pPr>
              <w:spacing w:after="40"/>
            </w:pPr>
            <w:r>
              <w:rPr>
                <w:rFonts w:ascii="Consolas" w:cs="Consolas" w:eastAsia="Consolas" w:hAnsi="Consolas"/>
                <w:color w:val="1B1B1B"/>
                <w:sz w:val="19"/>
                <w:szCs w:val="19"/>
              </w:rPr>
              <w:t xml:space="preserve">    plt.title(f'Distribution of {col} by Churn')</w:t>
            </w:r>
          </w:p>
          <w:p>
            <w:pPr>
              <w:spacing w:after="40"/>
            </w:pPr>
            <w:r>
              <w:rPr>
                <w:rFonts w:ascii="Consolas" w:cs="Consolas" w:eastAsia="Consolas" w:hAnsi="Consolas"/>
                <w:color w:val="1B1B1B"/>
                <w:sz w:val="19"/>
                <w:szCs w:val="19"/>
              </w:rPr>
              <w:t xml:space="preserve"> </w:t>
            </w:r>
          </w:p>
          <w:p>
            <w:pPr>
              <w:spacing w:after="40"/>
            </w:pPr>
            <w:r>
              <w:rPr>
                <w:rFonts w:ascii="Consolas" w:cs="Consolas" w:eastAsia="Consolas" w:hAnsi="Consolas"/>
                <w:color w:val="1B1B1B"/>
                <w:sz w:val="19"/>
                <w:szCs w:val="19"/>
              </w:rPr>
              <w:t xml:space="preserve">def plot_outliers(df, col):</w:t>
            </w:r>
          </w:p>
          <w:p>
            <w:pPr>
              <w:spacing w:after="40"/>
            </w:pPr>
            <w:r>
              <w:rPr>
                <w:rFonts w:ascii="Consolas" w:cs="Consolas" w:eastAsia="Consolas" w:hAnsi="Consolas"/>
                <w:color w:val="1B1B1B"/>
                <w:sz w:val="19"/>
                <w:szCs w:val="19"/>
              </w:rPr>
              <w:t xml:space="preserve">    sns.boxplot(data=df, x='Churn', y=col)</w:t>
            </w:r>
          </w:p>
          <w:p>
            <w:pPr>
              <w:spacing w:after="40"/>
            </w:pPr>
            <w:r>
              <w:rPr>
                <w:rFonts w:ascii="Consolas" w:cs="Consolas" w:eastAsia="Consolas" w:hAnsi="Consolas"/>
                <w:color w:val="1B1B1B"/>
                <w:sz w:val="19"/>
                <w:szCs w:val="19"/>
              </w:rPr>
              <w:t xml:space="preserve">    plt.title(f'{col} spread by Churn (outlier check)')</w:t>
            </w:r>
          </w:p>
          <w:p>
            <w:pPr>
              <w:spacing w:after="40"/>
            </w:pPr>
            <w:r>
              <w:rPr>
                <w:rFonts w:ascii="Consolas" w:cs="Consolas" w:eastAsia="Consolas" w:hAnsi="Consolas"/>
                <w:color w:val="1B1B1B"/>
                <w:sz w:val="19"/>
                <w:szCs w:val="19"/>
              </w:rPr>
              <w:t xml:space="preserve"> </w:t>
            </w:r>
          </w:p>
          <w:p>
            <w:pPr>
              <w:spacing w:after="40"/>
            </w:pPr>
            <w:r>
              <w:rPr>
                <w:rFonts w:ascii="Consolas" w:cs="Consolas" w:eastAsia="Consolas" w:hAnsi="Consolas"/>
                <w:color w:val="1B1B1B"/>
                <w:sz w:val="19"/>
                <w:szCs w:val="19"/>
              </w:rPr>
              <w:t xml:space="preserve">def plot_correlation(df):</w:t>
            </w:r>
          </w:p>
          <w:p>
            <w:pPr>
              <w:spacing w:after="40"/>
            </w:pPr>
            <w:r>
              <w:rPr>
                <w:rFonts w:ascii="Consolas" w:cs="Consolas" w:eastAsia="Consolas" w:hAnsi="Consolas"/>
                <w:color w:val="1B1B1B"/>
                <w:sz w:val="19"/>
                <w:szCs w:val="19"/>
              </w:rPr>
              <w:t xml:space="preserve">    numeric_df = df.select_dtypes(include='number')</w:t>
            </w:r>
          </w:p>
          <w:p>
            <w:pPr>
              <w:spacing w:after="40"/>
            </w:pPr>
            <w:r>
              <w:rPr>
                <w:rFonts w:ascii="Consolas" w:cs="Consolas" w:eastAsia="Consolas" w:hAnsi="Consolas"/>
                <w:color w:val="1B1B1B"/>
                <w:sz w:val="19"/>
                <w:szCs w:val="19"/>
              </w:rPr>
              <w:t xml:space="preserve">    sns.heatmap(numeric_df.corr(), annot=True, cmap='coolwarm')</w:t>
            </w:r>
          </w:p>
        </w:tc>
      </w:tr>
    </w:tbl>
    <w:p>
      <w:pPr>
        <w:spacing w:after="160" w:line="288"/>
      </w:pPr>
      <w:r>
        <w:rPr>
          <w:rFonts w:ascii="Calibri" w:cs="Calibri" w:eastAsia="Calibri" w:hAnsi="Calibri"/>
          <w:color w:val="222222"/>
          <w:sz w:val="22"/>
          <w:szCs w:val="22"/>
        </w:rPr>
        <w:t xml:space="preserve">Each function maps directly to one row of the table in Section 4, so running load_data() → summary_stats() → the four plotting functions in sequence reproduces the entire EDA plan end to end.</w:t>
      </w:r>
    </w:p>
    <w:p>
      <w:pPr>
        <w:pStyle w:val="Heading1"/>
        <w:spacing w:after="160" w:before="360"/>
      </w:pPr>
      <w:r>
        <w:rPr>
          <w:rFonts w:ascii="Calibri" w:cs="Calibri" w:eastAsia="Calibri" w:hAnsi="Calibri"/>
          <w:b/>
          <w:bCs/>
          <w:color w:val="2C6E8E"/>
          <w:sz w:val="30"/>
          <w:szCs w:val="30"/>
        </w:rPr>
        <w:t xml:space="preserve">6. Mock Analysis Plan — Anticipated Outcomes</w:t>
      </w:r>
    </w:p>
    <w:p>
      <w:pPr>
        <w:spacing w:after="160" w:line="288"/>
      </w:pPr>
      <w:r>
        <w:rPr>
          <w:rFonts w:ascii="Calibri" w:cs="Calibri" w:eastAsia="Calibri" w:hAnsi="Calibri"/>
          <w:color w:val="222222"/>
          <w:sz w:val="22"/>
          <w:szCs w:val="22"/>
        </w:rPr>
        <w:t xml:space="preserve">Based on the well-documented behaviour of the Telco Customer Churn dataset, the following outcomes are anticipated and will be confirmed or corrected once the plots above are run:</w:t>
      </w:r>
    </w:p>
    <w:p>
      <w:pPr>
        <w:pStyle w:val="ListParagraph"/>
        <w:numPr>
          <w:ilvl w:val="0"/>
          <w:numId w:val="3"/>
        </w:numPr>
        <w:spacing w:after="90"/>
      </w:pPr>
      <w:r>
        <w:rPr>
          <w:rFonts w:ascii="Calibri" w:cs="Calibri" w:eastAsia="Calibri" w:hAnsi="Calibri"/>
          <w:color w:val="222222"/>
          <w:sz w:val="22"/>
          <w:szCs w:val="22"/>
        </w:rPr>
        <w:t xml:space="preserve">Customers on month-to-month contracts are expected to show a substantially higher churn rate than those on one- or two-year contracts, since the switching cost is lowest for this group — this will be checked with the Contract-vs-Churn bar chart.</w:t>
      </w:r>
    </w:p>
    <w:p>
      <w:pPr>
        <w:pStyle w:val="ListParagraph"/>
        <w:numPr>
          <w:ilvl w:val="0"/>
          <w:numId w:val="3"/>
        </w:numPr>
        <w:spacing w:after="90"/>
      </w:pPr>
      <w:r>
        <w:rPr>
          <w:rFonts w:ascii="Calibri" w:cs="Calibri" w:eastAsia="Calibri" w:hAnsi="Calibri"/>
          <w:color w:val="222222"/>
          <w:sz w:val="22"/>
          <w:szCs w:val="22"/>
        </w:rPr>
        <w:t xml:space="preserve">Churned customers are expected to have a lower average tenure than retained customers, visible as a left-shifted distribution in the tenure histogram and a lower median in the tenure box plot.</w:t>
      </w:r>
    </w:p>
    <w:p>
      <w:pPr>
        <w:pStyle w:val="ListParagraph"/>
        <w:numPr>
          <w:ilvl w:val="0"/>
          <w:numId w:val="3"/>
        </w:numPr>
        <w:spacing w:after="90"/>
      </w:pPr>
      <w:r>
        <w:rPr>
          <w:rFonts w:ascii="Calibri" w:cs="Calibri" w:eastAsia="Calibri" w:hAnsi="Calibri"/>
          <w:color w:val="222222"/>
          <w:sz w:val="22"/>
          <w:szCs w:val="22"/>
        </w:rPr>
        <w:t xml:space="preserve">Customers without OnlineSecurity or TechSupport add-ons are expected to churn more often, suggesting that support-related friction, not price alone, is a churn driver — this will be checked against the price-only hypothesis using the MonthlyCharges box plot for the same subgroup.</w:t>
      </w:r>
    </w:p>
    <w:p>
      <w:pPr>
        <w:pStyle w:val="ListParagraph"/>
        <w:numPr>
          <w:ilvl w:val="0"/>
          <w:numId w:val="3"/>
        </w:numPr>
        <w:spacing w:after="90"/>
      </w:pPr>
      <w:r>
        <w:rPr>
          <w:rFonts w:ascii="Calibri" w:cs="Calibri" w:eastAsia="Calibri" w:hAnsi="Calibri"/>
          <w:color w:val="222222"/>
          <w:sz w:val="22"/>
          <w:szCs w:val="22"/>
        </w:rPr>
        <w:t xml:space="preserve">The Churn class is expected to be imbalanced (roughly 1:3), which will be explicitly noted as a constraint for the modelling phase (precision/recall/F1 reporting, and possibly class weighting) rather than left as an implicit assumption.</w:t>
      </w:r>
    </w:p>
    <w:p>
      <w:pPr>
        <w:pStyle w:val="ListParagraph"/>
        <w:numPr>
          <w:ilvl w:val="0"/>
          <w:numId w:val="3"/>
        </w:numPr>
        <w:spacing w:after="90"/>
      </w:pPr>
      <w:r>
        <w:rPr>
          <w:rFonts w:ascii="Calibri" w:cs="Calibri" w:eastAsia="Calibri" w:hAnsi="Calibri"/>
          <w:color w:val="222222"/>
          <w:sz w:val="22"/>
          <w:szCs w:val="22"/>
        </w:rPr>
        <w:t xml:space="preserve">TotalCharges is expected to correlate strongly with tenure by construction (it accumulates over time), so the correlation heatmap is expected to flag this pair for possible feature reduction before modelling.</w:t>
      </w:r>
    </w:p>
    <w:p>
      <w:pPr>
        <w:spacing w:after="160" w:line="288"/>
      </w:pPr>
      <w:r>
        <w:rPr>
          <w:rFonts w:ascii="Calibri" w:cs="Calibri" w:eastAsia="Calibri" w:hAnsi="Calibri"/>
          <w:color w:val="222222"/>
          <w:sz w:val="22"/>
          <w:szCs w:val="22"/>
        </w:rPr>
        <w:t xml:space="preserve">Each anticipated outcome above is written as a testable statement so that, when Week 4's actual EDA is run, each one can be marked confirmed, partially confirmed, or rejected against the real chart — rather than the report simply describing what a chart 'will show' in the abstract.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AF3F1" w:sz="2"/>
              <w:left w:val="single" w:color="4CAA95" w:sz="24"/>
              <w:bottom w:val="single" w:color="EAF3F1" w:sz="2"/>
              <w:right w:val="single" w:color="EAF3F1" w:sz="2"/>
            </w:tcBorders>
            <w:shd w:fill="EAF3F1" w:val="clear"/>
            <w:tcMar>
              <w:top w:type="dxa" w:w="160"/>
              <w:left w:type="dxa" w:w="240"/>
              <w:bottom w:type="dxa" w:w="160"/>
              <w:right w:type="dxa" w:w="200"/>
            </w:tcMar>
          </w:tcPr>
          <w:p>
            <w:pPr>
              <w:spacing w:after="60"/>
            </w:pPr>
            <w:r>
              <w:rPr>
                <w:rFonts w:ascii="Calibri" w:cs="Calibri" w:eastAsia="Calibri" w:hAnsi="Calibri"/>
                <w:b/>
                <w:bCs/>
                <w:color w:val="4CAA95"/>
                <w:sz w:val="18"/>
                <w:szCs w:val="18"/>
              </w:rPr>
              <w:t xml:space="preserve">EXAMPLE</w:t>
            </w:r>
          </w:p>
          <w:p>
            <w:pPr>
              <w:spacing w:after="0" w:line="276"/>
            </w:pPr>
            <w:r>
              <w:rPr>
                <w:rFonts w:ascii="Calibri" w:cs="Calibri" w:eastAsia="Calibri" w:hAnsi="Calibri"/>
                <w:color w:val="222222"/>
                <w:sz w:val="22"/>
                <w:szCs w:val="22"/>
              </w:rPr>
              <w:t xml:space="preserve">Vague version (avoided): “Churn appears to vary across customer segments.” Specific version (used above): “Customers on month-to-month contracts with tenure under 6 months and no OnlineSecurity add-on are expected to show the highest churn concentration; this will be tested directly with a grouped bar chart of Contract × tenure-band against Churn.” The second version names the exact segment, the exact chart, and the exact variables that will confirm or reject it.</w:t>
            </w:r>
          </w:p>
        </w:tc>
      </w:tr>
    </w:tbl>
    <w:p>
      <w:pPr>
        <w:spacing w:after="200"/>
      </w:pPr>
    </w:p>
    <w:p>
      <w:pPr>
        <w:pStyle w:val="Heading1"/>
        <w:spacing w:after="160" w:before="360"/>
      </w:pPr>
      <w:r>
        <w:rPr>
          <w:rFonts w:ascii="Calibri" w:cs="Calibri" w:eastAsia="Calibri" w:hAnsi="Calibri"/>
          <w:b/>
          <w:bCs/>
          <w:color w:val="2C6E8E"/>
          <w:sz w:val="30"/>
          <w:szCs w:val="30"/>
        </w:rPr>
        <w:t xml:space="preserve">7. Visualization Design Considerations</w:t>
      </w:r>
    </w:p>
    <w:p>
      <w:pPr>
        <w:pStyle w:val="Heading2"/>
        <w:spacing w:after="120" w:before="240"/>
      </w:pPr>
      <w:r>
        <w:rPr>
          <w:rFonts w:ascii="Calibri" w:cs="Calibri" w:eastAsia="Calibri" w:hAnsi="Calibri"/>
          <w:b/>
          <w:bCs/>
          <w:color w:val="1B3A4B"/>
          <w:sz w:val="24"/>
          <w:szCs w:val="24"/>
        </w:rPr>
        <w:t xml:space="preserve">7.1 Colour Choice</w:t>
      </w:r>
    </w:p>
    <w:p>
      <w:pPr>
        <w:pStyle w:val="ListParagraph"/>
        <w:numPr>
          <w:ilvl w:val="0"/>
          <w:numId w:val="3"/>
        </w:numPr>
        <w:spacing w:after="90"/>
      </w:pPr>
      <w:r>
        <w:rPr>
          <w:rFonts w:ascii="Calibri" w:cs="Calibri" w:eastAsia="Calibri" w:hAnsi="Calibri"/>
          <w:color w:val="222222"/>
          <w:sz w:val="22"/>
          <w:szCs w:val="22"/>
        </w:rPr>
        <w:t xml:space="preserve">A single consistent two-colour palette will be used to represent Churn = Yes / No across every chart (e.g. Seaborn's 'colorblind' palette), so a reader can recognise the churn class instantly without re-reading the legend on each figure.</w:t>
      </w:r>
    </w:p>
    <w:p>
      <w:pPr>
        <w:pStyle w:val="ListParagraph"/>
        <w:numPr>
          <w:ilvl w:val="0"/>
          <w:numId w:val="3"/>
        </w:numPr>
        <w:spacing w:after="90"/>
      </w:pPr>
      <w:r>
        <w:rPr>
          <w:rFonts w:ascii="Calibri" w:cs="Calibri" w:eastAsia="Calibri" w:hAnsi="Calibri"/>
          <w:color w:val="222222"/>
          <w:sz w:val="22"/>
          <w:szCs w:val="22"/>
        </w:rPr>
        <w:t xml:space="preserve">Sequential colour maps (e.g. 'coolwarm') will be reserved for the correlation heatmap only, since diverging colour is meaningful there (positive vs negative correlation) but would be misleading on a categorical count plot.</w:t>
      </w:r>
    </w:p>
    <w:p>
      <w:pPr>
        <w:pStyle w:val="Heading2"/>
        <w:spacing w:after="120" w:before="240"/>
      </w:pPr>
      <w:r>
        <w:rPr>
          <w:rFonts w:ascii="Calibri" w:cs="Calibri" w:eastAsia="Calibri" w:hAnsi="Calibri"/>
          <w:b/>
          <w:bCs/>
          <w:color w:val="1B3A4B"/>
          <w:sz w:val="24"/>
          <w:szCs w:val="24"/>
        </w:rPr>
        <w:t xml:space="preserve">7.2 Layout</w:t>
      </w:r>
    </w:p>
    <w:p>
      <w:pPr>
        <w:pStyle w:val="ListParagraph"/>
        <w:numPr>
          <w:ilvl w:val="0"/>
          <w:numId w:val="3"/>
        </w:numPr>
        <w:spacing w:after="90"/>
      </w:pPr>
      <w:r>
        <w:rPr>
          <w:rFonts w:ascii="Calibri" w:cs="Calibri" w:eastAsia="Calibri" w:hAnsi="Calibri"/>
          <w:color w:val="222222"/>
          <w:sz w:val="22"/>
          <w:szCs w:val="22"/>
        </w:rPr>
        <w:t xml:space="preserve">Related plots (e.g. all categorical-vs-churn bar charts) will be arranged in a single Matplotlib subplot grid rather than as separate figures, so comparisons across categories can be made side by side.</w:t>
      </w:r>
    </w:p>
    <w:p>
      <w:pPr>
        <w:pStyle w:val="ListParagraph"/>
        <w:numPr>
          <w:ilvl w:val="0"/>
          <w:numId w:val="3"/>
        </w:numPr>
        <w:spacing w:after="90"/>
      </w:pPr>
      <w:r>
        <w:rPr>
          <w:rFonts w:ascii="Calibri" w:cs="Calibri" w:eastAsia="Calibri" w:hAnsi="Calibri"/>
          <w:color w:val="222222"/>
          <w:sz w:val="22"/>
          <w:szCs w:val="22"/>
        </w:rPr>
        <w:t xml:space="preserve">Every figure will carry a descriptive title, axis labels with units where relevant (e.g. 'MonthlyCharges ($)'), and a legend positioned outside the plot area to avoid overlapping data points.</w:t>
      </w:r>
    </w:p>
    <w:p>
      <w:pPr>
        <w:pStyle w:val="Heading2"/>
        <w:spacing w:after="120" w:before="240"/>
      </w:pPr>
      <w:r>
        <w:rPr>
          <w:rFonts w:ascii="Calibri" w:cs="Calibri" w:eastAsia="Calibri" w:hAnsi="Calibri"/>
          <w:b/>
          <w:bCs/>
          <w:color w:val="1B3A4B"/>
          <w:sz w:val="24"/>
          <w:szCs w:val="24"/>
        </w:rPr>
        <w:t xml:space="preserve">7.3 Interactivity (time permitting)</w:t>
      </w:r>
    </w:p>
    <w:p>
      <w:pPr>
        <w:pStyle w:val="ListParagraph"/>
        <w:numPr>
          <w:ilvl w:val="0"/>
          <w:numId w:val="3"/>
        </w:numPr>
        <w:spacing w:after="90"/>
      </w:pPr>
      <w:r>
        <w:rPr>
          <w:rFonts w:ascii="Calibri" w:cs="Calibri" w:eastAsia="Calibri" w:hAnsi="Calibri"/>
          <w:color w:val="222222"/>
          <w:sz w:val="22"/>
          <w:szCs w:val="22"/>
        </w:rPr>
        <w:t xml:space="preserve">If time allows within the 30–35 hour budget, a small set of key plots (tenure vs MonthlyCharges vs Churn, and the correlation heatmap) will be reproduced in Plotly to allow hover-based inspection of individual customer records — useful for spot-checking outliers found in the static box plots.</w:t>
      </w:r>
    </w:p>
    <w:p>
      <w:pPr>
        <w:pStyle w:val="ListParagraph"/>
        <w:numPr>
          <w:ilvl w:val="0"/>
          <w:numId w:val="3"/>
        </w:numPr>
        <w:spacing w:after="90"/>
      </w:pPr>
      <w:r>
        <w:rPr>
          <w:rFonts w:ascii="Calibri" w:cs="Calibri" w:eastAsia="Calibri" w:hAnsi="Calibri"/>
          <w:color w:val="222222"/>
          <w:sz w:val="22"/>
          <w:szCs w:val="22"/>
        </w:rPr>
        <w:t xml:space="preserve">Interactivity is scoped as a stretch goal only; the static Matplotlib/Seaborn versions are the deliverable of record and will not be blocked on the interactive versions being finished.</w:t>
      </w:r>
    </w:p>
    <w:p>
      <w:pPr>
        <w:pStyle w:val="Heading1"/>
        <w:spacing w:after="160" w:before="360"/>
      </w:pPr>
      <w:r>
        <w:rPr>
          <w:rFonts w:ascii="Calibri" w:cs="Calibri" w:eastAsia="Calibri" w:hAnsi="Calibri"/>
          <w:b/>
          <w:bCs/>
          <w:color w:val="2C6E8E"/>
          <w:sz w:val="30"/>
          <w:szCs w:val="30"/>
        </w:rPr>
        <w:t xml:space="preserve">8. EDA Process Flow Diagram</w:t>
      </w:r>
    </w:p>
    <w:p>
      <w:pPr>
        <w:spacing w:after="160" w:line="288"/>
      </w:pPr>
      <w:r>
        <w:rPr>
          <w:rFonts w:ascii="Calibri" w:cs="Calibri" w:eastAsia="Calibri" w:hAnsi="Calibri"/>
          <w:color w:val="222222"/>
          <w:sz w:val="22"/>
          <w:szCs w:val="22"/>
        </w:rPr>
        <w:t xml:space="preserve">The diagram below summarises the sequence in which the steps described above will be executed, from raw data to documented insight:</w:t>
      </w:r>
    </w:p>
    <w:p>
      <w:pPr>
        <w:jc w:val="center"/>
      </w:pPr>
      <w:r>
        <w:drawing>
          <wp:inline distT="0" distB="0" distL="0" distR="0">
            <wp:extent cx="31432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7429500"/>
                    </a:xfrm>
                    <a:prstGeom prst="rect">
                      <a:avLst/>
                    </a:prstGeom>
                  </pic:spPr>
                </pic:pic>
              </a:graphicData>
            </a:graphic>
          </wp:inline>
        </w:drawing>
      </w:r>
    </w:p>
    <w:p>
      <w:pPr>
        <w:pStyle w:val="Heading1"/>
        <w:spacing w:after="160" w:before="360"/>
      </w:pPr>
      <w:r>
        <w:rPr>
          <w:rFonts w:ascii="Calibri" w:cs="Calibri" w:eastAsia="Calibri" w:hAnsi="Calibri"/>
          <w:b/>
          <w:bCs/>
          <w:color w:val="2C6E8E"/>
          <w:sz w:val="30"/>
          <w:szCs w:val="30"/>
        </w:rPr>
        <w:t xml:space="preserve">9. Risk Identification and Mitigation Strategies</w:t>
      </w:r>
    </w:p>
    <w:p>
      <w:pPr>
        <w:spacing w:after="160" w:line="288"/>
      </w:pPr>
      <w:r>
        <w:rPr>
          <w:rFonts w:ascii="Calibri" w:cs="Calibri" w:eastAsia="Calibri" w:hAnsi="Calibri"/>
          <w:color w:val="222222"/>
          <w:sz w:val="22"/>
          <w:szCs w:val="22"/>
        </w:rPr>
        <w:t xml:space="preserve">Each risk below is written as a specific failure mode this EDA plan could hit, paired with a concrete, checkable action — not a general caution:</w:t>
      </w:r>
    </w:p>
    <w:p>
      <w:pPr>
        <w:pStyle w:val="Heading2"/>
        <w:spacing w:after="120" w:before="240"/>
      </w:pPr>
      <w:r>
        <w:rPr>
          <w:rFonts w:ascii="Calibri" w:cs="Calibri" w:eastAsia="Calibri" w:hAnsi="Calibri"/>
          <w:b/>
          <w:bCs/>
          <w:color w:val="1B3A4B"/>
          <w:sz w:val="24"/>
          <w:szCs w:val="24"/>
        </w:rPr>
        <w:t xml:space="preserve">9.1 Missing or malformed values misread as errors</w:t>
      </w:r>
    </w:p>
    <w:p>
      <w:pPr>
        <w:spacing w:after="160" w:line="288"/>
      </w:pPr>
      <w:r>
        <w:rPr>
          <w:rFonts w:ascii="Calibri" w:cs="Calibri" w:eastAsia="Calibri" w:hAnsi="Calibri"/>
          <w:b/>
          <w:bCs/>
          <w:color w:val="1B3A4B"/>
          <w:sz w:val="22"/>
          <w:szCs w:val="22"/>
        </w:rPr>
        <w:t xml:space="preserve">Risk:  </w:t>
      </w:r>
      <w:r>
        <w:rPr>
          <w:rFonts w:ascii="Calibri" w:cs="Calibri" w:eastAsia="Calibri" w:hAnsi="Calibri"/>
          <w:color w:val="222222"/>
          <w:sz w:val="22"/>
          <w:szCs w:val="22"/>
        </w:rPr>
        <w:t xml:space="preserve">TotalCharges loads as an object dtype because blank strings are used for customers with zero tenure; if these blanks are dropped or mean-imputed without checking why they are missing, the dataset silently loses or distorts the newest-customer segment, which is exactly the segment most relevant to early-churn analysis.</w:t>
      </w:r>
    </w:p>
    <w:p>
      <w:pPr>
        <w:spacing w:after="160" w:line="288"/>
      </w:pPr>
      <w:r>
        <w:rPr>
          <w:rFonts w:ascii="Calibri" w:cs="Calibri" w:eastAsia="Calibri" w:hAnsi="Calibri"/>
          <w:b/>
          <w:bCs/>
          <w:color w:val="1B3A4B"/>
          <w:sz w:val="22"/>
          <w:szCs w:val="22"/>
        </w:rPr>
        <w:t xml:space="preserve">Mitigation:  </w:t>
      </w:r>
      <w:r>
        <w:rPr>
          <w:rFonts w:ascii="Calibri" w:cs="Calibri" w:eastAsia="Calibri" w:hAnsi="Calibri"/>
          <w:color w:val="222222"/>
          <w:sz w:val="22"/>
          <w:szCs w:val="22"/>
        </w:rPr>
        <w:t xml:space="preserve">convert TotalCharges with pd.to_numeric(errors='coerce'), then cross-tabulate the resulting NaNs against tenure before deciding treatment. Rows with tenure = 0 are set to 0 (a true value); any row with tenure &gt; 0 is flagged separately for manual review rather than silently imputed.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AF3F1" w:sz="2"/>
              <w:left w:val="single" w:color="4CAA95" w:sz="24"/>
              <w:bottom w:val="single" w:color="EAF3F1" w:sz="2"/>
              <w:right w:val="single" w:color="EAF3F1" w:sz="2"/>
            </w:tcBorders>
            <w:shd w:fill="EAF3F1" w:val="clear"/>
            <w:tcMar>
              <w:top w:type="dxa" w:w="160"/>
              <w:left w:type="dxa" w:w="240"/>
              <w:bottom w:type="dxa" w:w="160"/>
              <w:right w:type="dxa" w:w="200"/>
            </w:tcMar>
          </w:tcPr>
          <w:p>
            <w:pPr>
              <w:spacing w:after="60"/>
            </w:pPr>
            <w:r>
              <w:rPr>
                <w:rFonts w:ascii="Calibri" w:cs="Calibri" w:eastAsia="Calibri" w:hAnsi="Calibri"/>
                <w:b/>
                <w:bCs/>
                <w:color w:val="4CAA95"/>
                <w:sz w:val="18"/>
                <w:szCs w:val="18"/>
              </w:rPr>
              <w:t xml:space="preserve">EXAMPLE</w:t>
            </w:r>
          </w:p>
          <w:p>
            <w:pPr>
              <w:spacing w:after="0" w:line="276"/>
            </w:pPr>
            <w:r>
              <w:rPr>
                <w:rFonts w:ascii="Calibri" w:cs="Calibri" w:eastAsia="Calibri" w:hAnsi="Calibri"/>
                <w:color w:val="222222"/>
                <w:sz w:val="22"/>
                <w:szCs w:val="22"/>
              </w:rPr>
              <w:t xml:space="preserve">If isnull().sum() returns 11 missing TotalCharges rows and all 11 have tenure = 0, those 11 rows are set to 0. If even one of them has tenure = 5, that single row is pulled out for manual review instead of being averaged in with the rest.</w:t>
            </w:r>
          </w:p>
        </w:tc>
      </w:tr>
    </w:tbl>
    <w:p>
      <w:pPr>
        <w:spacing w:after="160"/>
      </w:pPr>
    </w:p>
    <w:p>
      <w:pPr>
        <w:pStyle w:val="Heading2"/>
        <w:spacing w:after="120" w:before="240"/>
      </w:pPr>
      <w:r>
        <w:rPr>
          <w:rFonts w:ascii="Calibri" w:cs="Calibri" w:eastAsia="Calibri" w:hAnsi="Calibri"/>
          <w:b/>
          <w:bCs/>
          <w:color w:val="1B3A4B"/>
          <w:sz w:val="24"/>
          <w:szCs w:val="24"/>
        </w:rPr>
        <w:t xml:space="preserve">9.2 Class imbalance distorting visual impressions</w:t>
      </w:r>
    </w:p>
    <w:p>
      <w:pPr>
        <w:spacing w:after="160" w:line="288"/>
      </w:pPr>
      <w:r>
        <w:rPr>
          <w:rFonts w:ascii="Calibri" w:cs="Calibri" w:eastAsia="Calibri" w:hAnsi="Calibri"/>
          <w:b/>
          <w:bCs/>
          <w:color w:val="1B3A4B"/>
          <w:sz w:val="22"/>
          <w:szCs w:val="22"/>
        </w:rPr>
        <w:t xml:space="preserve">Risk:  </w:t>
      </w:r>
      <w:r>
        <w:rPr>
          <w:rFonts w:ascii="Calibri" w:cs="Calibri" w:eastAsia="Calibri" w:hAnsi="Calibri"/>
          <w:color w:val="222222"/>
          <w:sz w:val="22"/>
          <w:szCs w:val="22"/>
        </w:rPr>
        <w:t xml:space="preserve">with Churn typically split around 73% / 27%, raw-count histograms and bar charts will make the majority class visually dominant on every plot, which can lead to reading 'the majority pattern' as 'the churn pattern' by mistake.</w:t>
      </w:r>
    </w:p>
    <w:p>
      <w:pPr>
        <w:spacing w:after="160" w:line="288"/>
      </w:pPr>
      <w:r>
        <w:rPr>
          <w:rFonts w:ascii="Calibri" w:cs="Calibri" w:eastAsia="Calibri" w:hAnsi="Calibri"/>
          <w:b/>
          <w:bCs/>
          <w:color w:val="1B3A4B"/>
          <w:sz w:val="22"/>
          <w:szCs w:val="22"/>
        </w:rPr>
        <w:t xml:space="preserve">Mitigation:  </w:t>
      </w:r>
      <w:r>
        <w:rPr>
          <w:rFonts w:ascii="Calibri" w:cs="Calibri" w:eastAsia="Calibri" w:hAnsi="Calibri"/>
          <w:color w:val="222222"/>
          <w:sz w:val="22"/>
          <w:szCs w:val="22"/>
        </w:rPr>
        <w:t xml:space="preserve">every distribution plot involving Churn will use normalized counts (stat='density' or hue-proportion bars) alongside the raw-count version, and the class split will be printed numerically above each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AF3F1" w:sz="2"/>
              <w:left w:val="single" w:color="4CAA95" w:sz="24"/>
              <w:bottom w:val="single" w:color="EAF3F1" w:sz="2"/>
              <w:right w:val="single" w:color="EAF3F1" w:sz="2"/>
            </w:tcBorders>
            <w:shd w:fill="EAF3F1" w:val="clear"/>
            <w:tcMar>
              <w:top w:type="dxa" w:w="160"/>
              <w:left w:type="dxa" w:w="240"/>
              <w:bottom w:type="dxa" w:w="160"/>
              <w:right w:type="dxa" w:w="200"/>
            </w:tcMar>
          </w:tcPr>
          <w:p>
            <w:pPr>
              <w:spacing w:after="60"/>
            </w:pPr>
            <w:r>
              <w:rPr>
                <w:rFonts w:ascii="Calibri" w:cs="Calibri" w:eastAsia="Calibri" w:hAnsi="Calibri"/>
                <w:b/>
                <w:bCs/>
                <w:color w:val="4CAA95"/>
                <w:sz w:val="18"/>
                <w:szCs w:val="18"/>
              </w:rPr>
              <w:t xml:space="preserve">EXAMPLE</w:t>
            </w:r>
          </w:p>
          <w:p>
            <w:pPr>
              <w:spacing w:after="0" w:line="276"/>
            </w:pPr>
            <w:r>
              <w:rPr>
                <w:rFonts w:ascii="Calibri" w:cs="Calibri" w:eastAsia="Calibri" w:hAnsi="Calibri"/>
                <w:color w:val="222222"/>
                <w:sz w:val="22"/>
                <w:szCs w:val="22"/>
              </w:rPr>
              <w:t xml:space="preserve">If raw counts show roughly 5,174 'No' vs 1,869 'Yes', the report will print the normalized split — 73.4% vs 26.6% — directly above the chart, so a reader cannot mistake the taller bar for the more meaningful one.</w:t>
            </w:r>
          </w:p>
        </w:tc>
      </w:tr>
    </w:tbl>
    <w:p>
      <w:pPr>
        <w:spacing w:after="160"/>
      </w:pPr>
    </w:p>
    <w:p>
      <w:pPr>
        <w:pStyle w:val="Heading2"/>
        <w:spacing w:after="120" w:before="240"/>
      </w:pPr>
      <w:r>
        <w:rPr>
          <w:rFonts w:ascii="Calibri" w:cs="Calibri" w:eastAsia="Calibri" w:hAnsi="Calibri"/>
          <w:b/>
          <w:bCs/>
          <w:color w:val="1B3A4B"/>
          <w:sz w:val="24"/>
          <w:szCs w:val="24"/>
        </w:rPr>
        <w:t xml:space="preserve">9.3 Outliers removed that are actually valid high-value customers</w:t>
      </w:r>
    </w:p>
    <w:p>
      <w:pPr>
        <w:spacing w:after="160" w:line="288"/>
      </w:pPr>
      <w:r>
        <w:rPr>
          <w:rFonts w:ascii="Calibri" w:cs="Calibri" w:eastAsia="Calibri" w:hAnsi="Calibri"/>
          <w:b/>
          <w:bCs/>
          <w:color w:val="1B3A4B"/>
          <w:sz w:val="22"/>
          <w:szCs w:val="22"/>
        </w:rPr>
        <w:t xml:space="preserve">Risk:  </w:t>
      </w:r>
      <w:r>
        <w:rPr>
          <w:rFonts w:ascii="Calibri" w:cs="Calibri" w:eastAsia="Calibri" w:hAnsi="Calibri"/>
          <w:color w:val="222222"/>
          <w:sz w:val="22"/>
          <w:szCs w:val="22"/>
        </w:rPr>
        <w:t xml:space="preserve">long-tenure customers with high TotalCharges will appear as statistical outliers in an IQR box plot; if these are dropped mechanically as 'noise', the analysis loses exactly the loyal, high-value customers that retention strategy most needs to understand.</w:t>
      </w:r>
    </w:p>
    <w:p>
      <w:pPr>
        <w:spacing w:after="160" w:line="288"/>
      </w:pPr>
      <w:r>
        <w:rPr>
          <w:rFonts w:ascii="Calibri" w:cs="Calibri" w:eastAsia="Calibri" w:hAnsi="Calibri"/>
          <w:b/>
          <w:bCs/>
          <w:color w:val="1B3A4B"/>
          <w:sz w:val="22"/>
          <w:szCs w:val="22"/>
        </w:rPr>
        <w:t xml:space="preserve">Mitigation:  </w:t>
      </w:r>
      <w:r>
        <w:rPr>
          <w:rFonts w:ascii="Calibri" w:cs="Calibri" w:eastAsia="Calibri" w:hAnsi="Calibri"/>
          <w:color w:val="222222"/>
          <w:sz w:val="22"/>
          <w:szCs w:val="22"/>
        </w:rPr>
        <w:t xml:space="preserve">no value is removed purely for falling outside the IQR whiskers. Each flagged outlier is cross-checked against tenure first — only values inconsistent with tenure are investigated as possible data-entry errors.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AF3F1" w:sz="2"/>
              <w:left w:val="single" w:color="4CAA95" w:sz="24"/>
              <w:bottom w:val="single" w:color="EAF3F1" w:sz="2"/>
              <w:right w:val="single" w:color="EAF3F1" w:sz="2"/>
            </w:tcBorders>
            <w:shd w:fill="EAF3F1" w:val="clear"/>
            <w:tcMar>
              <w:top w:type="dxa" w:w="160"/>
              <w:left w:type="dxa" w:w="240"/>
              <w:bottom w:type="dxa" w:w="160"/>
              <w:right w:type="dxa" w:w="200"/>
            </w:tcMar>
          </w:tcPr>
          <w:p>
            <w:pPr>
              <w:spacing w:after="60"/>
            </w:pPr>
            <w:r>
              <w:rPr>
                <w:rFonts w:ascii="Calibri" w:cs="Calibri" w:eastAsia="Calibri" w:hAnsi="Calibri"/>
                <w:b/>
                <w:bCs/>
                <w:color w:val="4CAA95"/>
                <w:sz w:val="18"/>
                <w:szCs w:val="18"/>
              </w:rPr>
              <w:t xml:space="preserve">EXAMPLE</w:t>
            </w:r>
          </w:p>
          <w:p>
            <w:pPr>
              <w:spacing w:after="0" w:line="276"/>
            </w:pPr>
            <w:r>
              <w:rPr>
                <w:rFonts w:ascii="Calibri" w:cs="Calibri" w:eastAsia="Calibri" w:hAnsi="Calibri"/>
                <w:color w:val="222222"/>
                <w:sz w:val="22"/>
                <w:szCs w:val="22"/>
              </w:rPr>
              <w:t xml:space="preserve">A customer with TotalCharges = 8,684 and tenure = 72 months is labelled 'high-value, not erroneous' and kept as-is. A customer with TotalCharges = 8,684 but tenure = 2 months is instead pulled out for manual review, since that combination is not internally consistent.</w:t>
            </w:r>
          </w:p>
        </w:tc>
      </w:tr>
    </w:tbl>
    <w:p>
      <w:pPr>
        <w:spacing w:after="160"/>
      </w:pPr>
    </w:p>
    <w:p>
      <w:pPr>
        <w:pStyle w:val="Heading2"/>
        <w:spacing w:after="120" w:before="240"/>
      </w:pPr>
      <w:r>
        <w:rPr>
          <w:rFonts w:ascii="Calibri" w:cs="Calibri" w:eastAsia="Calibri" w:hAnsi="Calibri"/>
          <w:b/>
          <w:bCs/>
          <w:color w:val="1B3A4B"/>
          <w:sz w:val="24"/>
          <w:szCs w:val="24"/>
        </w:rPr>
        <w:t xml:space="preserve">9.4 Spurious correlations from mixing encoded categorical columns into numeric analysis</w:t>
      </w:r>
    </w:p>
    <w:p>
      <w:pPr>
        <w:spacing w:after="160" w:line="288"/>
      </w:pPr>
      <w:r>
        <w:rPr>
          <w:rFonts w:ascii="Calibri" w:cs="Calibri" w:eastAsia="Calibri" w:hAnsi="Calibri"/>
          <w:b/>
          <w:bCs/>
          <w:color w:val="1B3A4B"/>
          <w:sz w:val="22"/>
          <w:szCs w:val="22"/>
        </w:rPr>
        <w:t xml:space="preserve">Risk:  </w:t>
      </w:r>
      <w:r>
        <w:rPr>
          <w:rFonts w:ascii="Calibri" w:cs="Calibri" w:eastAsia="Calibri" w:hAnsi="Calibri"/>
          <w:color w:val="222222"/>
          <w:sz w:val="22"/>
          <w:szCs w:val="22"/>
        </w:rPr>
        <w:t xml:space="preserve">if binary-encoded categorical fields (e.g. SeniorCitizen, or one-hot encoded PaymentMethod columns) are included in a Pearson correlation heatmap alongside true numeric fields, the heatmap can report a misleadingly precise-looking coefficient for a relationship that is not actually linear or numeric in nature.</w:t>
      </w:r>
    </w:p>
    <w:p>
      <w:pPr>
        <w:spacing w:after="160" w:line="288"/>
      </w:pPr>
      <w:r>
        <w:rPr>
          <w:rFonts w:ascii="Calibri" w:cs="Calibri" w:eastAsia="Calibri" w:hAnsi="Calibri"/>
          <w:b/>
          <w:bCs/>
          <w:color w:val="1B3A4B"/>
          <w:sz w:val="22"/>
          <w:szCs w:val="22"/>
        </w:rPr>
        <w:t xml:space="preserve">Mitigation:  </w:t>
      </w:r>
      <w:r>
        <w:rPr>
          <w:rFonts w:ascii="Calibri" w:cs="Calibri" w:eastAsia="Calibri" w:hAnsi="Calibri"/>
          <w:color w:val="222222"/>
          <w:sz w:val="22"/>
          <w:szCs w:val="22"/>
        </w:rPr>
        <w:t xml:space="preserve">df.select_dtypes(include='number') isolates genuinely continuous fields (tenure, MonthlyCharges, TotalCharges) for the Pearson heatmap. Categorical-to-categorical relationships are instead tested with a chi-square test of independence.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AF3F1" w:sz="2"/>
              <w:left w:val="single" w:color="4CAA95" w:sz="24"/>
              <w:bottom w:val="single" w:color="EAF3F1" w:sz="2"/>
              <w:right w:val="single" w:color="EAF3F1" w:sz="2"/>
            </w:tcBorders>
            <w:shd w:fill="EAF3F1" w:val="clear"/>
            <w:tcMar>
              <w:top w:type="dxa" w:w="160"/>
              <w:left w:type="dxa" w:w="240"/>
              <w:bottom w:type="dxa" w:w="160"/>
              <w:right w:type="dxa" w:w="200"/>
            </w:tcMar>
          </w:tcPr>
          <w:p>
            <w:pPr>
              <w:spacing w:after="60"/>
            </w:pPr>
            <w:r>
              <w:rPr>
                <w:rFonts w:ascii="Calibri" w:cs="Calibri" w:eastAsia="Calibri" w:hAnsi="Calibri"/>
                <w:b/>
                <w:bCs/>
                <w:color w:val="4CAA95"/>
                <w:sz w:val="18"/>
                <w:szCs w:val="18"/>
              </w:rPr>
              <w:t xml:space="preserve">EXAMPLE</w:t>
            </w:r>
          </w:p>
          <w:p>
            <w:pPr>
              <w:spacing w:after="0" w:line="276"/>
            </w:pPr>
            <w:r>
              <w:rPr>
                <w:rFonts w:ascii="Calibri" w:cs="Calibri" w:eastAsia="Calibri" w:hAnsi="Calibri"/>
                <w:color w:val="222222"/>
                <w:sz w:val="22"/>
                <w:szCs w:val="22"/>
              </w:rPr>
              <w:t xml:space="preserve">SeniorCitizen (0/1) sitting next to tenure in a Pearson heatmap could show a coefficient like 0.16, which looks like a real numeric relationship but is meaningless for a binary flag. It is excluded from the heatmap and tested against Churn with scipy.stats.chi2_contingency instead.</w:t>
            </w:r>
          </w:p>
        </w:tc>
      </w:tr>
    </w:tbl>
    <w:p>
      <w:pPr>
        <w:spacing w:after="160"/>
      </w:pPr>
    </w:p>
    <w:p>
      <w:pPr>
        <w:pStyle w:val="Heading2"/>
        <w:spacing w:after="120" w:before="240"/>
      </w:pPr>
      <w:r>
        <w:rPr>
          <w:rFonts w:ascii="Calibri" w:cs="Calibri" w:eastAsia="Calibri" w:hAnsi="Calibri"/>
          <w:b/>
          <w:bCs/>
          <w:color w:val="1B3A4B"/>
          <w:sz w:val="24"/>
          <w:szCs w:val="24"/>
        </w:rPr>
        <w:t xml:space="preserve">9.5 Visual pattern mistaken for statistical significance</w:t>
      </w:r>
    </w:p>
    <w:p>
      <w:pPr>
        <w:spacing w:after="160" w:line="288"/>
      </w:pPr>
      <w:r>
        <w:rPr>
          <w:rFonts w:ascii="Calibri" w:cs="Calibri" w:eastAsia="Calibri" w:hAnsi="Calibri"/>
          <w:b/>
          <w:bCs/>
          <w:color w:val="1B3A4B"/>
          <w:sz w:val="22"/>
          <w:szCs w:val="22"/>
        </w:rPr>
        <w:t xml:space="preserve">Risk:  </w:t>
      </w:r>
      <w:r>
        <w:rPr>
          <w:rFonts w:ascii="Calibri" w:cs="Calibri" w:eastAsia="Calibri" w:hAnsi="Calibri"/>
          <w:color w:val="222222"/>
          <w:sz w:val="22"/>
          <w:szCs w:val="22"/>
        </w:rPr>
        <w:t xml:space="preserve">a bar chart showing a visible gap in churn rate between two categories (e.g. contract types) can be over-interpreted as a confirmed driver of churn when the sample size in one category is small enough that the difference could be due to chance.</w:t>
      </w:r>
    </w:p>
    <w:p>
      <w:pPr>
        <w:spacing w:after="160" w:line="288"/>
      </w:pPr>
      <w:r>
        <w:rPr>
          <w:rFonts w:ascii="Calibri" w:cs="Calibri" w:eastAsia="Calibri" w:hAnsi="Calibri"/>
          <w:b/>
          <w:bCs/>
          <w:color w:val="1B3A4B"/>
          <w:sz w:val="22"/>
          <w:szCs w:val="22"/>
        </w:rPr>
        <w:t xml:space="preserve">Mitigation:  </w:t>
      </w:r>
      <w:r>
        <w:rPr>
          <w:rFonts w:ascii="Calibri" w:cs="Calibri" w:eastAsia="Calibri" w:hAnsi="Calibri"/>
          <w:color w:val="222222"/>
          <w:sz w:val="22"/>
          <w:szCs w:val="22"/>
        </w:rPr>
        <w:t xml:space="preserve">for each categorical variable flagged as visually significant in Section 4, a chi-square test of independence against Churn is run (scipy.stats.chi2_contingency) and the p-value reported next to the chart.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AF3F1" w:sz="2"/>
              <w:left w:val="single" w:color="4CAA95" w:sz="24"/>
              <w:bottom w:val="single" w:color="EAF3F1" w:sz="2"/>
              <w:right w:val="single" w:color="EAF3F1" w:sz="2"/>
            </w:tcBorders>
            <w:shd w:fill="EAF3F1" w:val="clear"/>
            <w:tcMar>
              <w:top w:type="dxa" w:w="160"/>
              <w:left w:type="dxa" w:w="240"/>
              <w:bottom w:type="dxa" w:w="160"/>
              <w:right w:type="dxa" w:w="200"/>
            </w:tcMar>
          </w:tcPr>
          <w:p>
            <w:pPr>
              <w:spacing w:after="60"/>
            </w:pPr>
            <w:r>
              <w:rPr>
                <w:rFonts w:ascii="Calibri" w:cs="Calibri" w:eastAsia="Calibri" w:hAnsi="Calibri"/>
                <w:b/>
                <w:bCs/>
                <w:color w:val="4CAA95"/>
                <w:sz w:val="18"/>
                <w:szCs w:val="18"/>
              </w:rPr>
              <w:t xml:space="preserve">EXAMPLE</w:t>
            </w:r>
          </w:p>
          <w:p>
            <w:pPr>
              <w:spacing w:after="0" w:line="276"/>
            </w:pPr>
            <w:r>
              <w:rPr>
                <w:rFonts w:ascii="Calibri" w:cs="Calibri" w:eastAsia="Calibri" w:hAnsi="Calibri"/>
                <w:color w:val="222222"/>
                <w:sz w:val="22"/>
                <w:szCs w:val="22"/>
              </w:rPr>
              <w:t xml:space="preserve">A bar chart might show 42% churn for 'Fiber optic' internet service vs 19% for 'DSL'. Before treating that gap as a confirmed driver, chi2_contingency is run on the two-way table to confirm p &lt; 0.05 given the category's sample size.</w:t>
            </w:r>
          </w:p>
        </w:tc>
      </w:tr>
    </w:tbl>
    <w:p>
      <w:pPr>
        <w:spacing w:after="160"/>
      </w:pPr>
    </w:p>
    <w:p>
      <w:pPr>
        <w:pStyle w:val="Heading2"/>
        <w:spacing w:after="120" w:before="240"/>
      </w:pPr>
      <w:r>
        <w:rPr>
          <w:rFonts w:ascii="Calibri" w:cs="Calibri" w:eastAsia="Calibri" w:hAnsi="Calibri"/>
          <w:b/>
          <w:bCs/>
          <w:color w:val="1B3A4B"/>
          <w:sz w:val="24"/>
          <w:szCs w:val="24"/>
        </w:rPr>
        <w:t xml:space="preserve">9.6 Time overrun on the 30–35 hour budget</w:t>
      </w:r>
    </w:p>
    <w:p>
      <w:pPr>
        <w:spacing w:after="160" w:line="288"/>
      </w:pPr>
      <w:r>
        <w:rPr>
          <w:rFonts w:ascii="Calibri" w:cs="Calibri" w:eastAsia="Calibri" w:hAnsi="Calibri"/>
          <w:b/>
          <w:bCs/>
          <w:color w:val="1B3A4B"/>
          <w:sz w:val="22"/>
          <w:szCs w:val="22"/>
        </w:rPr>
        <w:t xml:space="preserve">Risk:  </w:t>
      </w:r>
      <w:r>
        <w:rPr>
          <w:rFonts w:ascii="Calibri" w:cs="Calibri" w:eastAsia="Calibri" w:hAnsi="Calibri"/>
          <w:color w:val="222222"/>
          <w:sz w:val="22"/>
          <w:szCs w:val="22"/>
        </w:rPr>
        <w:t xml:space="preserve">visualization work tends to expand (re-styling charts, adding polish) well past the point of diminishing analytical return, which could push the interactive Plotly stretch goal — or worse, the core static plots — past the allotted hours.</w:t>
      </w:r>
    </w:p>
    <w:p>
      <w:pPr>
        <w:spacing w:after="160" w:line="288"/>
      </w:pPr>
      <w:r>
        <w:rPr>
          <w:rFonts w:ascii="Calibri" w:cs="Calibri" w:eastAsia="Calibri" w:hAnsi="Calibri"/>
          <w:b/>
          <w:bCs/>
          <w:color w:val="1B3A4B"/>
          <w:sz w:val="22"/>
          <w:szCs w:val="22"/>
        </w:rPr>
        <w:t xml:space="preserve">Mitigation:  </w:t>
      </w:r>
      <w:r>
        <w:rPr>
          <w:rFonts w:ascii="Calibri" w:cs="Calibri" w:eastAsia="Calibri" w:hAnsi="Calibri"/>
          <w:color w:val="222222"/>
          <w:sz w:val="22"/>
          <w:szCs w:val="22"/>
        </w:rPr>
        <w:t xml:space="preserve">the interactive Plotly task (Section 10, Task 6, 3 hours) is the first item cut if Tasks 1–5 run over estimate. A go/no-go checkpoint is built in at hour 25, before any interactivity work begins.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AF3F1" w:sz="2"/>
              <w:left w:val="single" w:color="4CAA95" w:sz="24"/>
              <w:bottom w:val="single" w:color="EAF3F1" w:sz="2"/>
              <w:right w:val="single" w:color="EAF3F1" w:sz="2"/>
            </w:tcBorders>
            <w:shd w:fill="EAF3F1" w:val="clear"/>
            <w:tcMar>
              <w:top w:type="dxa" w:w="160"/>
              <w:left w:type="dxa" w:w="240"/>
              <w:bottom w:type="dxa" w:w="160"/>
              <w:right w:type="dxa" w:w="200"/>
            </w:tcMar>
          </w:tcPr>
          <w:p>
            <w:pPr>
              <w:spacing w:after="60"/>
            </w:pPr>
            <w:r>
              <w:rPr>
                <w:rFonts w:ascii="Calibri" w:cs="Calibri" w:eastAsia="Calibri" w:hAnsi="Calibri"/>
                <w:b/>
                <w:bCs/>
                <w:color w:val="4CAA95"/>
                <w:sz w:val="18"/>
                <w:szCs w:val="18"/>
              </w:rPr>
              <w:t xml:space="preserve">EXAMPLE</w:t>
            </w:r>
          </w:p>
          <w:p>
            <w:pPr>
              <w:spacing w:after="0" w:line="276"/>
            </w:pPr>
            <w:r>
              <w:rPr>
                <w:rFonts w:ascii="Calibri" w:cs="Calibri" w:eastAsia="Calibri" w:hAnsi="Calibri"/>
                <w:color w:val="222222"/>
                <w:sz w:val="22"/>
                <w:szCs w:val="22"/>
              </w:rPr>
              <w:t xml:space="preserve">If Tasks 1–5 are still running at hour 27 instead of finishing at hour 25, the Plotly interactivity task is dropped immediately rather than trimmed, protecting the core static deliverable.</w:t>
            </w:r>
          </w:p>
        </w:tc>
      </w:tr>
    </w:tbl>
    <w:p>
      <w:pPr>
        <w:pStyle w:val="Heading1"/>
        <w:spacing w:after="160" w:before="360"/>
      </w:pPr>
      <w:r>
        <w:rPr>
          <w:rFonts w:ascii="Calibri" w:cs="Calibri" w:eastAsia="Calibri" w:hAnsi="Calibri"/>
          <w:b/>
          <w:bCs/>
          <w:color w:val="2C6E8E"/>
          <w:sz w:val="30"/>
          <w:szCs w:val="30"/>
        </w:rPr>
        <w:t xml:space="preserve">10. Timeline (30–35 Hour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350"/>
        <w:gridCol w:w="900"/>
        <w:gridCol w:w="3000"/>
      </w:tblGrid>
      <w:tr>
        <w:trPr>
          <w:tblHeader/>
        </w:trPr>
        <w:tc>
          <w:tcPr>
            <w:tcW w:type="dxa" w:w="2100"/>
            <w:shd w:fill="2C6E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Task</w:t>
            </w:r>
          </w:p>
        </w:tc>
        <w:tc>
          <w:tcPr>
            <w:tcW w:type="dxa" w:w="3350"/>
            <w:shd w:fill="2C6E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Activity</w:t>
            </w:r>
          </w:p>
        </w:tc>
        <w:tc>
          <w:tcPr>
            <w:tcW w:type="dxa" w:w="900"/>
            <w:shd w:fill="2C6E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Hours</w:t>
            </w:r>
          </w:p>
        </w:tc>
        <w:tc>
          <w:tcPr>
            <w:tcW w:type="dxa" w:w="3000"/>
            <w:shd w:fill="2C6E8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Output</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 Setup</w:t>
            </w:r>
          </w:p>
        </w:tc>
        <w:tc>
          <w:tcPr>
            <w:tcW w:type="dxa" w:w="3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Load dataset, fix TotalCharges dtype, verify shape and nulls</w:t>
            </w:r>
          </w:p>
        </w:tc>
        <w:tc>
          <w:tcPr>
            <w:tcW w:type="dxa" w:w="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w:t>
            </w:r>
          </w:p>
        </w:tc>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Clean, correctly-typed DataFrame ready for analysis</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 Statistical
Summarization</w:t>
            </w:r>
          </w:p>
        </w:tc>
        <w:tc>
          <w:tcPr>
            <w:tcW w:type="dxa" w:w="3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Run describe(), value_counts(), groupby comparisons, skew check</w:t>
            </w:r>
          </w:p>
        </w:tc>
        <w:tc>
          <w:tcPr>
            <w:tcW w:type="dxa" w:w="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w:t>
            </w:r>
          </w:p>
        </w:tc>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Numeric summary table with class-balance and skew notes</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 Univariate
Analysis</w:t>
            </w:r>
          </w:p>
        </w:tc>
        <w:tc>
          <w:tcPr>
            <w:tcW w:type="dxa" w:w="3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Histograms/KDE for numeric columns, count plots for categorical columns</w:t>
            </w:r>
          </w:p>
        </w:tc>
        <w:tc>
          <w:tcPr>
            <w:tcW w:type="dxa" w:w="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6</w:t>
            </w:r>
          </w:p>
        </w:tc>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One distribution plot per key variable, annotated</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 Bivariate Analysis
vs Churn</w:t>
            </w:r>
          </w:p>
        </w:tc>
        <w:tc>
          <w:tcPr>
            <w:tcW w:type="dxa" w:w="3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Bar charts and box plots for each variable against Churn</w:t>
            </w:r>
          </w:p>
        </w:tc>
        <w:tc>
          <w:tcPr>
            <w:tcW w:type="dxa" w:w="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8</w:t>
            </w:r>
          </w:p>
        </w:tc>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Set of comparison plots answering EDA questions 1–4</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5. Outlier &amp; Correlation
Analysis</w:t>
            </w:r>
          </w:p>
        </w:tc>
        <w:tc>
          <w:tcPr>
            <w:tcW w:type="dxa" w:w="3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IQR box plots for numeric columns, correlation heatmap</w:t>
            </w:r>
          </w:p>
        </w:tc>
        <w:tc>
          <w:tcPr>
            <w:tcW w:type="dxa" w:w="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5</w:t>
            </w:r>
          </w:p>
        </w:tc>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Documented outlier list and correlation heatmap</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6. Interactive
Visualization (stretch)</w:t>
            </w:r>
          </w:p>
        </w:tc>
        <w:tc>
          <w:tcPr>
            <w:tcW w:type="dxa" w:w="3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Rebuild 2 key plots in Plotly for hover inspection</w:t>
            </w:r>
          </w:p>
        </w:tc>
        <w:tc>
          <w:tcPr>
            <w:tcW w:type="dxa" w:w="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w:t>
            </w:r>
          </w:p>
        </w:tc>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Interactive scatter and heatmap (optional)</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7. Insight
Consolidation</w:t>
            </w:r>
          </w:p>
        </w:tc>
        <w:tc>
          <w:tcPr>
            <w:tcW w:type="dxa" w:w="3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Compare mock analysis predictions to actual chart outputs</w:t>
            </w:r>
          </w:p>
        </w:tc>
        <w:tc>
          <w:tcPr>
            <w:tcW w:type="dxa" w:w="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w:t>
            </w:r>
          </w:p>
        </w:tc>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Confirmed / rejected list of anticipated outcomes</w:t>
            </w:r>
          </w:p>
        </w:tc>
      </w:tr>
      <w:tr>
        <w:tc>
          <w:tcPr>
            <w:tcW w:type="dxa" w:w="2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8. Report Writing</w:t>
            </w:r>
          </w:p>
        </w:tc>
        <w:tc>
          <w:tcPr>
            <w:tcW w:type="dxa" w:w="3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Compile findings, screenshots and narrative into final DOC</w:t>
            </w:r>
          </w:p>
        </w:tc>
        <w:tc>
          <w:tcPr>
            <w:tcW w:type="dxa" w:w="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w:t>
            </w:r>
          </w:p>
        </w:tc>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Final Week 3/4 submission document</w:t>
            </w:r>
          </w:p>
        </w:tc>
      </w:tr>
    </w:tbl>
    <w:p>
      <w:pPr>
        <w:spacing w:after="120"/>
      </w:pPr>
    </w:p>
    <w:p>
      <w:pPr>
        <w:spacing w:after="160" w:line="288"/>
      </w:pPr>
      <w:r>
        <w:rPr>
          <w:rFonts w:ascii="Calibri" w:cs="Calibri" w:eastAsia="Calibri" w:hAnsi="Calibri"/>
          <w:color w:val="222222"/>
          <w:sz w:val="22"/>
          <w:szCs w:val="22"/>
        </w:rPr>
        <w:t xml:space="preserve">Total planned effort: 35 hours, within the 30–35 hour window specified for this task.</w:t>
      </w:r>
    </w:p>
    <w:p>
      <w:pPr>
        <w:pStyle w:val="Heading1"/>
        <w:spacing w:after="160" w:before="360"/>
      </w:pPr>
      <w:r>
        <w:rPr>
          <w:rFonts w:ascii="Calibri" w:cs="Calibri" w:eastAsia="Calibri" w:hAnsi="Calibri"/>
          <w:b/>
          <w:bCs/>
          <w:color w:val="2C6E8E"/>
          <w:sz w:val="30"/>
          <w:szCs w:val="30"/>
        </w:rPr>
        <w:t xml:space="preserve">11. Conclusion</w:t>
      </w:r>
    </w:p>
    <w:p>
      <w:pPr>
        <w:spacing w:after="160" w:line="288"/>
      </w:pPr>
      <w:r>
        <w:rPr>
          <w:rFonts w:ascii="Calibri" w:cs="Calibri" w:eastAsia="Calibri" w:hAnsi="Calibri"/>
          <w:color w:val="222222"/>
          <w:sz w:val="22"/>
          <w:szCs w:val="22"/>
        </w:rPr>
        <w:t xml:space="preserve">This plan translates the EDA task brief into a concrete, executable sequence: named business questions, a data-type-to-chart-type mapping with justification, working code structure, testable anticipated outcomes, explicit design rules for colour and layout, a process flow diagram, named risks with specific mitigation actions, and an hour-by-hour timeline that fits the specified budget. Executing this plan in Week 4 will produce evidence-based answers to each question in Section 2, directly informing the feature engineering and class-imbalance decisions of the subsequent modelling phase of the Customer Churn Prediction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be2fe49a96a891f4dfc741080f0e95d7f59d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2026-08-27T16:56:58.023Z</dcterms:created>
  <dcterms:modified xsi:type="dcterms:W3CDTF">2026-08-27T16:56:58.038Z</dcterms:modified>
</cp:coreProperties>
</file>

<file path=docProps/custom.xml><?xml version="1.0" encoding="utf-8"?>
<Properties xmlns="http://schemas.openxmlformats.org/officeDocument/2006/custom-properties" xmlns:vt="http://schemas.openxmlformats.org/officeDocument/2006/docPropsVTypes"/>
</file>