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w:t>
      </w:r>
      <w:r w:rsidDel="00000000" w:rsidR="00000000" w:rsidRPr="00000000">
        <w:rPr>
          <w:highlight w:val="yellow"/>
          <w:rtl w:val="0"/>
        </w:rPr>
        <w:t xml:space="preserve"> did not revoke access to the internal folder</w:t>
      </w:r>
      <w:r w:rsidDel="00000000" w:rsidR="00000000" w:rsidRPr="00000000">
        <w:rPr>
          <w:rtl w:val="0"/>
        </w:rPr>
        <w:t xml:space="preserve">,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main cause was the manager not revoking the access.</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So the problem comes down to not automatically revoking access after a certain period of time, as well as a sales team member not having a separate permission than the manager. </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Per NIST SP 800-53: AC-6, they need to implement a user based permission system and a timeout system that automatically revokes the access. </w:t>
            </w:r>
            <w:r w:rsidDel="00000000" w:rsidR="00000000" w:rsidRPr="00000000">
              <w:rPr>
                <w:rtl w:val="0"/>
              </w:rPr>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i w:val="1"/>
                <w:rtl w:val="0"/>
              </w:rPr>
              <w:t xml:space="preserve">If there was an automatic timeout system, the business partner wouldn’t have had access to the link in the first place since the access was already revoked. Even then if there was no timeout system, if the permission system limited what the users could view with their account privileges, this incident could have been avoided since the business partner does not have any internal-only permissions.</w:t>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