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45"/>
        <w:gridCol w:w="1245"/>
        <w:gridCol w:w="1155"/>
        <w:tblGridChange w:id="0">
          <w:tblGrid>
            <w:gridCol w:w="930"/>
            <w:gridCol w:w="2040"/>
            <w:gridCol w:w="3435"/>
            <w:gridCol w:w="1245"/>
            <w:gridCol w:w="124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i w:val="1"/>
              </w:rPr>
            </w:pPr>
            <w:r w:rsidDel="00000000" w:rsidR="00000000" w:rsidRPr="00000000">
              <w:rPr>
                <w:i w:val="1"/>
                <w:rtl w:val="0"/>
              </w:rPr>
              <w:t xml:space="preserve">How are security events possible considering the risks the asset faces in its operating environment?</w:t>
            </w:r>
            <w:r w:rsidDel="00000000" w:rsidR="00000000" w:rsidRPr="00000000">
              <w:rPr>
                <w:i w:val="1"/>
                <w:rtl w:val="0"/>
              </w:rPr>
              <w:t xml:space="preserve"> </w:t>
            </w:r>
          </w:p>
          <w:p w:rsidR="00000000" w:rsidDel="00000000" w:rsidP="00000000" w:rsidRDefault="00000000" w:rsidRPr="00000000" w14:paraId="0000002C">
            <w:pPr>
              <w:ind w:left="0" w:right="-90" w:firstLine="0"/>
              <w:rPr/>
            </w:pPr>
            <w:r w:rsidDel="00000000" w:rsidR="00000000" w:rsidRPr="00000000">
              <w:rPr>
                <w:rtl w:val="0"/>
              </w:rPr>
              <w:t xml:space="preserve">Since there are many clients and employees in the bank, chances of security events are moderate. Any human error will directly lead to such incidents. </w:t>
            </w:r>
          </w:p>
        </w:tc>
      </w:tr>
    </w:tbl>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8">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A">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4">
      <w:pPr>
        <w:ind w:left="-360" w:right="-360" w:firstLine="0"/>
        <w:jc w:val="center"/>
        <w:rPr>
          <w:rFonts w:ascii="Google Sans" w:cs="Google Sans" w:eastAsia="Google Sans" w:hAnsi="Google Sans"/>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