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r>
        <w:rPr>
          <w:rFonts w:ascii="Times New Roman" w:hAnsi="Times New Roman" w:eastAsia="Times New Roman"/>
          <w:b/>
          <w:sz w:val="28"/>
        </w:rPr>
        <w:t>4.5.4 Scope and Interpretation</w:t>
      </w:r>
    </w:p>
    <w:p>
      <w:pPr>
        <w:pStyle w:val="First Paragraph"/>
      </w:pPr>
      <w:r>
        <w:rPr>
          <w:rFonts w:ascii="Times New Roman" w:hAnsi="Times New Roman" w:eastAsia="Times New Roman"/>
          <w:sz w:val="24"/>
        </w:rPr>
        <w:t>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rPr>
          <w:rFonts w:ascii="Times New Roman" w:hAnsi="Times New Roman" w:eastAsia="Times New Roman"/>
          <w:sz w:val="24"/>
        </w:rPr>
        <w:t>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rPr>
          <w:rFonts w:ascii="Times New Roman" w:hAnsi="Times New Roman" w:eastAsia="Times New Roman"/>
          <w:sz w:val="24"/>
        </w:rPr>
        <w:t>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rPr>
          <w:rFonts w:ascii="Times New Roman" w:hAnsi="Times New Roman" w:eastAsia="Times New Roman"/>
          <w:sz w:val="24"/>
        </w:rPr>
        <w:t>The current pipeline validates syntax, structure, and controlled backtranslation behavior, but it does not provide a full model-theoretic interpretation of the formulas. Predicates such as glutenFreeMeal(y) or certifiedHalal(y) 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rPr>
          <w:rFonts w:ascii="Times New Roman" w:hAnsi="Times New Roman" w:eastAsia="Times New Roman"/>
          <w:sz w:val="24"/>
        </w:rPr>
        <w:t>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rPr>
          <w:lang w:val="en-US"/>
        </w:rPr>
      </w:pPr>
      <w:r>
        <w:rPr>
          <w:rFonts w:ascii="Times New Roman" w:hAnsi="Times New Roman" w:eastAsia="Times New Roman"/>
          <w:b w:val="0"/>
          <w:sz w:val="24"/>
        </w:rPr>
        <w:t>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rPr>
          <w:lang w:val="en-US"/>
        </w:rPr>
      </w:pPr>
      <w:r>
        <w:rPr>
          <w:rFonts w:ascii="Times New Roman" w:hAnsi="Times New Roman" w:eastAsia="Times New Roman"/>
          <w:b w:val="0"/>
          <w:sz w:val="24"/>
        </w:rPr>
        <w:t>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rPr>
          <w:lang w:val="en-US"/>
        </w:rPr>
      </w:pPr>
      <w:r>
        <w:rPr>
          <w:rFonts w:ascii="Times New Roman" w:hAnsi="Times New Roman" w:eastAsia="Times New Roman"/>
          <w:b w:val="0"/>
          <w:sz w:val="24"/>
        </w:rPr>
        <w:t>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rPr>
          <w:lang w:val="en-US"/>
        </w:rPr>
      </w:pPr>
      <w:r>
        <w:rPr>
          <w:rFonts w:ascii="Times New Roman" w:hAnsi="Times New Roman" w:eastAsia="Times New Roman"/>
          <w:b w:val="0"/>
          <w:sz w:val="24"/>
        </w:rPr>
        <w:t>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rPr>
          <w:rFonts w:ascii="Times New Roman" w:hAnsi="Times New Roman" w:eastAsia="Times New Roman"/>
          <w:b w:val="0"/>
          <w:i w:val="0"/>
          <w:sz w:val="22"/>
          <w:rtl w:val="0"/>
          <w:lang w:val="en-US"/>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pStyle w:val="First Paragraph"/>
      </w:pPr>
      <w:r>
        <w:rPr>
          <w:rFonts w:ascii="Times New Roman" w:hAnsi="Times New Roman" w:eastAsia="Times New Roman"/>
          <w:b w:val="0"/>
          <w:i w:val="0"/>
          <w:sz w:val="22"/>
          <w:rtl w:val="0"/>
          <w:lang w:val="en-US"/>
        </w:rPr>
        <w:t>[0] DJ4ME. A DJ for Machine Ethics: the Dialogue Jiminy. University of Luxembourg project page. https://icr.uni.lu/dj4me/index.html</w:t>
      </w:r>
    </w:p>
    <w:p>
      <w:pPr>
        <w:pStyle w:val="Body Text"/>
      </w:pPr>
      <w:r>
        <w:rPr>
          <w:rFonts w:ascii="Times New Roman" w:hAnsi="Times New Roman" w:eastAsia="Times New Roman"/>
          <w:b w:val="0"/>
          <w:i w:val="0"/>
          <w:sz w:val="22"/>
          <w:rtl w:val="0"/>
          <w:lang w:val="en-US"/>
        </w:rPr>
        <w:t>[1] Yang, Y., Xiong, S., Payani, A., Shareghi, E., and Fekri, F. Harnessing the Power of Large Language Models for Natural Language to First-Order Logic Translation. arXiv:2305.15541, 2023.</w:t>
      </w:r>
    </w:p>
    <w:p>
      <w:pPr>
        <w:pStyle w:val="Body Text"/>
      </w:pPr>
      <w:r>
        <w:rPr>
          <w:rFonts w:ascii="Times New Roman" w:hAnsi="Times New Roman" w:eastAsia="Times New Roman"/>
          <w:b w:val="0"/>
          <w:i w:val="0"/>
          <w:sz w:val="22"/>
          <w:rtl w:val="0"/>
          <w:lang w:val="en-US"/>
        </w:rPr>
        <w:t>[2]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 Text"/>
      </w:pPr>
      <w:r>
        <w:rPr>
          <w:rFonts w:ascii="Times New Roman" w:hAnsi="Times New Roman" w:eastAsia="Times New Roman"/>
          <w:b w:val="0"/>
          <w:i w:val="0"/>
          <w:sz w:val="22"/>
          <w:rtl w:val="0"/>
          <w:lang w:val="en-US"/>
        </w:rPr>
        <w:t>[3] Pan, L., Albalak, A., Wang, X., and Wang, W. Y. Logic-LM: Empowering Large Language Models with Symbolic Solvers for Faithful Logical Reasoning. arXiv:2305.12295, 2023.</w:t>
      </w:r>
    </w:p>
    <w:p>
      <w:pPr>
        <w:pStyle w:val="Body Text"/>
      </w:pPr>
      <w:r>
        <w:rPr>
          <w:rFonts w:ascii="Times New Roman" w:hAnsi="Times New Roman" w:eastAsia="Times New Roman"/>
          <w:b w:val="0"/>
          <w:i w:val="0"/>
          <w:sz w:val="22"/>
          <w:rtl w:val="0"/>
          <w:lang w:val="en-US"/>
        </w:rPr>
        <w:t>[4] Abdollahpouri, H., Burke, R., Mobasher, B., and Malthouse, E. C. Multi-Stakeholder Recommendation: Applications and Challenges. arXiv:1707.08913, 2017.</w:t>
      </w:r>
    </w:p>
    <w:p>
      <w:pPr>
        <w:pStyle w:val="Body Text"/>
      </w:pPr>
      <w:r>
        <w:rPr>
          <w:rFonts w:ascii="Times New Roman" w:hAnsi="Times New Roman" w:eastAsia="Times New Roman"/>
          <w:b w:val="0"/>
          <w:i w:val="0"/>
          <w:sz w:val="22"/>
          <w:rtl w:val="0"/>
          <w:lang w:val="en-US"/>
        </w:rPr>
        <w:t>[5] Abdollahpouri, H. Multi-stakeholder Recommendation and its Connection to Multi-sided Fairness. arXiv:1907.13158, 2019.</w:t>
      </w:r>
    </w:p>
    <w:p>
      <w:pPr>
        <w:pStyle w:val="Body Text"/>
      </w:pPr>
      <w:r>
        <w:rPr>
          <w:rFonts w:ascii="Times New Roman" w:hAnsi="Times New Roman" w:eastAsia="Times New Roman"/>
          <w:b w:val="0"/>
          <w:i w:val="0"/>
          <w:sz w:val="22"/>
          <w:rtl w:val="0"/>
          <w:lang w:val="en-US"/>
        </w:rPr>
        <w:t>[6] Olson, T., Salas-Damian, R., and Forbus, K. D. A Defeasible Deontic Calculus for Resolving Norm Conflicts. arXiv:2407.04869, 2024.</w:t>
      </w:r>
    </w:p>
    <w:p>
      <w:pPr>
        <w:pStyle w:val="Body Text"/>
      </w:pPr>
      <w:r>
        <w:rPr>
          <w:rFonts w:ascii="Times New Roman" w:hAnsi="Times New Roman" w:eastAsia="Times New Roman"/>
          <w:b w:val="0"/>
          <w:i w:val="0"/>
          <w:sz w:val="22"/>
          <w:rtl w:val="0"/>
          <w:lang w:val="en-US"/>
        </w:rPr>
        <w:t>[7] Dung, P. M. On the Acceptability of Arguments and its Fundamental Role in Nonmonotonic Reasoning, Logic Programming and n-Person Games. Artificial Intelligence, 77(2), 321-357, 1995.</w:t>
      </w:r>
    </w:p>
    <w:p>
      <w:pPr>
        <w:pStyle w:val="Body Text"/>
      </w:pPr>
      <w:r>
        <w:rPr>
          <w:rFonts w:ascii="Times New Roman" w:hAnsi="Times New Roman" w:eastAsia="Times New Roman"/>
          <w:b w:val="0"/>
          <w:i w:val="0"/>
          <w:sz w:val="22"/>
          <w:rtl w:val="0"/>
          <w:lang w:val="en-US"/>
        </w:rPr>
        <w:t>[8] Personalized Food Recommendation as Constrained Question Answering over a Large-Scale Food Knowledge Graph. arXiv:2101.01775, 2021.</w:t>
      </w:r>
    </w:p>
    <w:p>
      <w:pPr>
        <w:pStyle w:val="Body Text"/>
      </w:pPr>
      <w:r>
        <w:rPr>
          <w:rFonts w:ascii="Times New Roman" w:hAnsi="Times New Roman" w:eastAsia="Times New Roman"/>
          <w:b w:val="0"/>
          <w:i w:val="0"/>
          <w:sz w:val="22"/>
          <w:rtl w:val="0"/>
          <w:lang w:val="en-US"/>
        </w:rPr>
        <w:t>[9] Kamath, A., and Das, R. A Survey on Semantic Parsing. AKBC, 2019.</w:t>
      </w:r>
    </w:p>
    <w:p>
      <w:pPr>
        <w:pStyle w:val="Body Text"/>
      </w:pPr>
      <w:r>
        <w:rPr>
          <w:rFonts w:ascii="Times New Roman" w:hAnsi="Times New Roman" w:eastAsia="Times New Roman"/>
          <w:b w:val="0"/>
          <w:i w:val="0"/>
          <w:sz w:val="22"/>
          <w:rtl w:val="0"/>
          <w:lang w:val="en-US"/>
        </w:rPr>
        <w:t>[10] Ryu, H., Kim, G., Lee, H. S., and Yang, E. Divide and Translate: Compositional First-Order Logic Translation and Verification for Complex Logical Reasoning. arXiv:2410.08047, 2024.</w:t>
      </w:r>
    </w:p>
    <w:p>
      <w:pPr>
        <w:pStyle w:val="Body Text"/>
      </w:pPr>
      <w:r>
        <w:rPr>
          <w:rFonts w:ascii="Times New Roman" w:hAnsi="Times New Roman" w:eastAsia="Times New Roman"/>
          <w:b w:val="0"/>
          <w:i w:val="0"/>
          <w:sz w:val="22"/>
          <w:rtl w:val="0"/>
          <w:lang w:val="en-US"/>
        </w:rPr>
        <w:t>[11] Boella, G., Pigozzi, G., and van der Torre, L. Normative Systems in Computer Science: Ten Guidelines for Normative Multiagent Systems. Dagstuhl Seminar Proceedings, 2009. https://doi.org/10.4230/DagSemProc.09121.2</w:t>
      </w:r>
    </w:p>
    <w:p>
      <w:pPr>
        <w:pStyle w:val="Body Text"/>
      </w:pPr>
      <w:r>
        <w:rPr>
          <w:rFonts w:ascii="Times New Roman" w:hAnsi="Times New Roman" w:eastAsia="Times New Roman"/>
          <w:b w:val="0"/>
          <w:i w:val="0"/>
          <w:sz w:val="22"/>
          <w:rtl w:val="0"/>
          <w:lang w:val="en-US"/>
        </w:rPr>
        <w:t>[12] Mahmoud, M. A., Ahmad, M. S., Yusoff, M. Z. M., and Mustapha, A. A Review of Norms and Normative Multiagent Systems. The Scientific World Journal, 2014.</w:t>
      </w:r>
    </w:p>
    <w:p>
      <w:pPr>
        <w:pStyle w:val="Body Text"/>
      </w:pPr>
      <w:r>
        <w:rPr>
          <w:rFonts w:ascii="Times New Roman" w:hAnsi="Times New Roman" w:eastAsia="Times New Roman"/>
          <w:b w:val="0"/>
          <w:i w:val="0"/>
          <w:sz w:val="22"/>
          <w:rtl w:val="0"/>
          <w:lang w:val="en-US"/>
        </w:rPr>
        <w:t>[13] Santos, J. S., Zahn, J. O., Silvestre, E. A., and Silva, V. T. Detection and Resolution of Normative Conflicts in Multi-Agent Systems: A Literature Survey. Journal of Autonomous Agents and Multi-Agent Systems, 2017.</w:t>
      </w:r>
    </w:p>
    <w:p>
      <w:pPr>
        <w:pStyle w:val="Body Text"/>
      </w:pPr>
      <w:r>
        <w:rPr>
          <w:rFonts w:ascii="Times New Roman" w:hAnsi="Times New Roman" w:eastAsia="Times New Roman"/>
          <w:b w:val="0"/>
          <w:i w:val="0"/>
          <w:sz w:val="22"/>
          <w:rtl w:val="0"/>
          <w:lang w:val="en-US"/>
        </w:rPr>
        <w:t>[14] Pigozzi, G., and van der Torre, L. Multiagent Deontic Logic and its Challenges from a Normative Systems Perspective. Journal of Logics and Their Applications, 2017.</w:t>
      </w:r>
    </w:p>
    <w:p>
      <w:pPr>
        <w:pStyle w:val="Body Text"/>
      </w:pPr>
      <w:r>
        <w:rPr>
          <w:rFonts w:ascii="Times New Roman" w:hAnsi="Times New Roman" w:eastAsia="Times New Roman"/>
          <w:b w:val="0"/>
          <w:i w:val="0"/>
          <w:sz w:val="22"/>
          <w:rtl w:val="0"/>
          <w:lang w:val="en-US"/>
        </w:rPr>
        <w:t>[15] Felfernig, A., and Burke, R. Constraint-Based Recommender Systems: Technologies and Research Issues. In International Conference on Electronic Commerce, ACM, 2008, pp.</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17-26.</w:t>
      </w:r>
    </w:p>
    <w:p>
      <w:pPr>
        <w:pStyle w:val="Body Text"/>
      </w:pPr>
      <w:r>
        <w:rPr>
          <w:rFonts w:ascii="Times New Roman" w:hAnsi="Times New Roman" w:eastAsia="Times New Roman"/>
          <w:b w:val="0"/>
          <w:i w:val="0"/>
          <w:sz w:val="22"/>
          <w:rtl w:val="0"/>
          <w:lang w:val="en-US"/>
        </w:rPr>
        <w:t>[16] Bondevik, J. N., Bennin, K. E., Babur, O., and Ersch, C. A Systematic Review on Food Recommender Systems. Expert Systems with Applications, 238, 122166, 2024.</w:t>
      </w:r>
    </w:p>
    <w:p>
      <w:pPr>
        <w:pStyle w:val="Body Text"/>
      </w:pPr>
      <w:r>
        <w:rPr>
          <w:rFonts w:ascii="Times New Roman" w:hAnsi="Times New Roman" w:eastAsia="Times New Roman"/>
          <w:b w:val="0"/>
          <w:i w:val="0"/>
          <w:sz w:val="22"/>
          <w:rtl w:val="0"/>
          <w:lang w:val="en-US"/>
        </w:rPr>
        <w:t>[17] Trattner, C., and Elsweiler, D. An Overview of Recommender Systems in the Healthy Food Domain. Journal of Intelligent Information Systems, 50, 501-526, 2018.</w:t>
      </w:r>
    </w:p>
    <w:p>
      <w:pPr>
        <w:pStyle w:val="Body Text"/>
      </w:pPr>
      <w:r>
        <w:rPr>
          <w:rFonts w:ascii="Times New Roman" w:hAnsi="Times New Roman" w:eastAsia="Times New Roman"/>
          <w:b w:val="0"/>
          <w:i w:val="0"/>
          <w:sz w:val="22"/>
          <w:rtl w:val="0"/>
          <w:lang w:val="en-US"/>
        </w:rPr>
        <w:t>[18] De Croon, R., Van Houdt, L., Htun, N. N., Slabbinck, H., Verbert, K., and Vanden Abeele, V. Health Recommender Systems: Systematic Review. Journal of Medical Internet Research, 2021.</w:t>
      </w:r>
    </w:p>
    <w:p>
      <w:pPr>
        <w:pStyle w:val="Body Text"/>
      </w:pPr>
      <w:r>
        <w:rPr>
          <w:rFonts w:ascii="Times New Roman" w:hAnsi="Times New Roman" w:eastAsia="Times New Roman"/>
          <w:b w:val="0"/>
          <w:i w:val="0"/>
          <w:sz w:val="22"/>
          <w:rtl w:val="0"/>
          <w:lang w:val="en-US"/>
        </w:rPr>
        <w:t>Draft note: Before submission, convert this bibliography into the citation style required by the programme and ensure that every bibliography item is cited consistently.</w:t>
      </w:r>
      <w:bookmarkEnd w:id="43"/>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