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jc w:val="center"/>
      </w:pPr>
      <w:r>
        <w:drawing>
          <wp:inline>
            <wp:extent cx="1828800" cy="1554480"/>
            <wp:effectExtent b="0" l="0" r="0" t="0"/>
            <wp:docPr descr="University of Luxembourg logo" title="" id="10" name="Picture"/>
            <a:graphic>
              <a:graphicData uri="http://schemas.openxmlformats.org/drawingml/2006/picture">
                <pic:pic>
                  <pic:nvPicPr>
                    <pic:cNvPr descr="../assets/university_of_luxembourg_logo.png" id="11" name="Picture"/>
                    <pic:cNvPicPr>
                      <a:picLocks noChangeArrowheads="1" noChangeAspect="1"/>
                    </pic:cNvPicPr>
                  </pic:nvPicPr>
                  <pic:blipFill>
                    <a:blip r:embed="rId9"/>
                    <a:stretch>
                      <a:fillRect/>
                    </a:stretch>
                  </pic:blipFill>
                  <pic:spPr bwMode="auto">
                    <a:xfrm>
                      <a:off x="0" y="0"/>
                      <a:ext cx="1828800" cy="1554480"/>
                    </a:xfrm>
                    <a:prstGeom prst="rect">
                      <a:avLst/>
                    </a:prstGeom>
                    <a:noFill/>
                    <a:ln w="9525">
                      <a:noFill/>
                      <a:headEnd/>
                      <a:tailEnd/>
                    </a:ln>
                  </pic:spPr>
                </pic:pic>
              </a:graphicData>
            </a:graphic>
          </wp:inline>
        </w:drawing>
      </w:r>
    </w:p>
    <w:p>
      <w:pPr>
        <w:pStyle w:val="ImageCaption"/>
        <w:jc w:val="center"/>
      </w:pPr>
      <w:r>
        <w:t xml:space="preserve">University of Luxembourg logo</w:t>
      </w:r>
    </w:p>
    <w:p>
      <w:pPr>
        <w:pStyle w:val="BodyText"/>
        <w:jc w:val="center"/>
      </w:pPr>
      <w:r>
        <w:t xml:space="preserve">Faculty of Science, Technology and Communication</w:t>
      </w:r>
    </w:p>
    <w:p>
      <w:pPr>
        <w:pStyle w:val="BodyText"/>
        <w:jc w:val="center"/>
      </w:pPr>
      <w:r>
        <w:t xml:space="preserve">Leveraging LLMs for Agent-Based Normative Recommender Systems</w:t>
      </w:r>
    </w:p>
    <w:p>
      <w:pPr>
        <w:pStyle w:val="BodyText"/>
        <w:jc w:val="center"/>
      </w:pPr>
      <w:r>
        <w:t xml:space="preserve">A Pipeline for Stakeholder Norm Translation, Validation, and Formulation Comparison</w:t>
      </w:r>
    </w:p>
    <w:p>
      <w:pPr>
        <w:pStyle w:val="BodyText"/>
        <w:jc w:val="center"/>
      </w:pPr>
      <w:r>
        <w:t xml:space="preserve">Thesis Submitted in Partial Fulfillment of the Requirements for the Degree of Master in Information and Computer Sciences</w:t>
      </w:r>
    </w:p>
    <w:p>
      <w:pPr>
        <w:pStyle w:val="BodyText"/>
        <w:jc w:val="center"/>
      </w:pPr>
      <w:r>
        <w:t xml:space="preserve">Author: Nabila Waheed</w:t>
      </w:r>
    </w:p>
    <w:p>
      <w:pPr>
        <w:pStyle w:val="BodyText"/>
        <w:jc w:val="center"/>
      </w:pPr>
      <w:r>
        <w:t xml:space="preserve">Supervisor: Prof. Leon van der Torre</w:t>
      </w:r>
    </w:p>
    <w:p>
      <w:pPr>
        <w:pStyle w:val="BodyText"/>
        <w:jc w:val="center"/>
      </w:pPr>
      <w:r>
        <w:t xml:space="preserve">Advisor: Matteo Magnini</w:t>
      </w:r>
    </w:p>
    <w:p>
      <w:pPr>
        <w:pStyle w:val="BodyText"/>
        <w:jc w:val="center"/>
      </w:pPr>
      <w:r>
        <w:t xml:space="preserve">Reviewer: Reka Markovich</w:t>
      </w:r>
    </w:p>
    <w:p>
      <w:pPr>
        <w:pStyle w:val="BodyText"/>
        <w:jc w:val="center"/>
      </w:pPr>
      <w:r>
        <w:t xml:space="preserve">Date: August 2026</w:t>
      </w:r>
      <w:r>
        <w:br w:type="page"/>
      </w:r>
    </w:p>
    <w:bookmarkStart w:id="12"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To examine robustness across LLMs, the study compares datasets generated with ChatGPT and Claude using the same controlled grammar and prompt structure. Both datasets achieved zero parser validation errors. Round-trip evaluation showed that most formal-to-natural-language backtranslations preserved the original norm, while human review confirmed that syntactic validity alone is insufficient for assessing semantic faithfulness. The comparison further showed that the Claude-generated dataset produced fewer severe semantic mismatches, whereas the ChatGPT-generated dataset used a broader predicate vocabulary.</w:t>
      </w:r>
    </w:p>
    <w:p>
      <w:pPr>
        <w:pStyle w:val="BodyText"/>
      </w:pPr>
      <w:r>
        <w:t xml:space="preserve">Keywords: large language models; deontic logic; first-order logic; normative recommender systems; stakeholder norms; grammar validation; abstract syntax trees; round-trip evaluation</w:t>
      </w:r>
    </w:p>
    <w:bookmarkEnd w:id="12"/>
    <w:bookmarkStart w:id="13"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p>
    <w:bookmarkEnd w:id="13"/>
    <w:bookmarkStart w:id="14"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4"/>
    <w:bookmarkStart w:id="15"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Text"/>
      </w:pPr>
      <w:r>
        <w:t xml:space="preserve">Bibliography</w:t>
      </w:r>
    </w:p>
    <w:p>
      <w:pPr>
        <w:pStyle w:val="BodyText"/>
      </w:pPr>
      <w:r>
        <w:t xml:space="preserve">Appendix A: Repository and Reproducibility</w:t>
      </w:r>
      <w:r>
        <w:t xml:space="preserve"> </w:t>
      </w:r>
      <w:r>
        <w:t xml:space="preserve">Appendix B: Example Dataset Record</w:t>
      </w:r>
      <w:r>
        <w:t xml:space="preserve"> </w:t>
      </w:r>
      <w:r>
        <w:t xml:space="preserve">Appendix C: Human Evaluation Form</w:t>
      </w:r>
    </w:p>
    <w:bookmarkEnd w:id="15"/>
    <w:bookmarkStart w:id="21"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6"/>
    <w:bookmarkStart w:id="17"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7"/>
    <w:bookmarkStart w:id="18"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8"/>
    <w:bookmarkStart w:id="19"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9"/>
    <w:bookmarkStart w:id="20"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0"/>
    <w:bookmarkEnd w:id="21"/>
    <w:bookmarkStart w:id="29" w:name="chapter-2-literature-review"/>
    <w:p>
      <w:pPr>
        <w:pStyle w:val="Heading1"/>
      </w:pPr>
      <w:r>
        <w:t xml:space="preserve">Chapter 2: Literature Review</w:t>
      </w:r>
    </w:p>
    <w:bookmarkStart w:id="22"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2"/>
    <w:bookmarkStart w:id="23"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3"/>
    <w:bookmarkStart w:id="24"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4"/>
    <w:bookmarkStart w:id="25"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5"/>
    <w:bookmarkStart w:id="26"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6"/>
    <w:bookmarkStart w:id="27"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7"/>
    <w:bookmarkStart w:id="28"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
    <w:bookmarkEnd w:id="29"/>
    <w:bookmarkStart w:id="40" w:name="chapter-3-methodology"/>
    <w:p>
      <w:pPr>
        <w:pStyle w:val="Heading1"/>
      </w:pPr>
      <w:r>
        <w:t xml:space="preserve">Chapter 3: Methodology</w:t>
      </w:r>
    </w:p>
    <w:bookmarkStart w:id="30"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30"/>
    <w:bookmarkStart w:id="33"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Dataset</w:t>
            </w:r>
          </w:p>
        </w:tc>
        <w:tc>
          <w:tcPr/>
          <w:p>
            <w:pPr>
              <w:pStyle w:val="Compact"/>
            </w:pPr>
            <w:r>
              <w:rPr>
                <w:rFonts w:ascii="Times New Roman" w:hAnsi="Times New Roman" w:eastAsia="Times New Roman"/>
                <w:sz w:val="20"/>
              </w:rPr>
              <w:t xml:space="preserve">Schema</w:t>
            </w:r>
          </w:p>
        </w:tc>
        <w:tc>
          <w:tcPr/>
          <w:p>
            <w:pPr>
              <w:pStyle w:val="Compact"/>
            </w:pPr>
            <w:r>
              <w:rPr>
                <w:rFonts w:ascii="Times New Roman" w:hAnsi="Times New Roman" w:eastAsia="Times New Roman"/>
                <w:sz w:val="20"/>
              </w:rPr>
              <w:t xml:space="preserve">Current size</w:t>
            </w:r>
          </w:p>
        </w:tc>
      </w:tr>
      <w:tr>
        <w:tc>
          <w:tcPr/>
          <w:p>
            <w:pPr>
              <w:pStyle w:val="Compact"/>
            </w:pPr>
            <w:r>
              <w:rPr>
                <w:rFonts w:ascii="Times New Roman" w:hAnsi="Times New Roman" w:eastAsia="Times New Roman"/>
                <w:sz w:val="20"/>
              </w:rPr>
              <w:t xml:space="preserve">Stakeholder norms</w:t>
            </w:r>
          </w:p>
        </w:tc>
        <w:tc>
          <w:tcPr/>
          <w:p>
            <w:pPr>
              <w:pStyle w:val="Compact"/>
            </w:pPr>
            <w:r>
              <w:rPr>
                <w:rFonts w:ascii="Times New Roman" w:hAnsi="Times New Roman" w:eastAsia="Times New Roman"/>
                <w:sz w:val="20"/>
              </w:rPr>
              <w:t xml:space="preserve">id, stakeholder, nl_norm, implication_formula, dyadic_formula, norm_type</w:t>
            </w:r>
          </w:p>
        </w:tc>
        <w:tc>
          <w:tcPr/>
          <w:p>
            <w:pPr>
              <w:pStyle w:val="Compact"/>
            </w:pPr>
            <w:r>
              <w:rPr>
                <w:rFonts w:ascii="Times New Roman" w:hAnsi="Times New Roman" w:eastAsia="Times New Roman"/>
                <w:sz w:val="20"/>
              </w:rPr>
              <w:t xml:space="preserve">300 records</w:t>
            </w:r>
          </w:p>
        </w:tc>
      </w:tr>
      <w:tr>
        <w:tc>
          <w:tcPr/>
          <w:p>
            <w:pPr>
              <w:pStyle w:val="Compact"/>
            </w:pPr>
            <w:r>
              <w:rPr>
                <w:rFonts w:ascii="Times New Roman" w:hAnsi="Times New Roman" w:eastAsia="Times New Roman"/>
                <w:sz w:val="20"/>
              </w:rPr>
              <w:t xml:space="preserve">Constitutive rules</w:t>
            </w:r>
          </w:p>
        </w:tc>
        <w:tc>
          <w:tcPr/>
          <w:p>
            <w:pPr>
              <w:pStyle w:val="Compact"/>
            </w:pPr>
            <w:r>
              <w:rPr>
                <w:rFonts w:ascii="Times New Roman" w:hAnsi="Times New Roman" w:eastAsia="Times New Roman"/>
                <w:sz w:val="20"/>
              </w:rPr>
              <w:t xml:space="preserve">id, scope, nl_rule, logic_rule, category</w:t>
            </w:r>
          </w:p>
        </w:tc>
        <w:tc>
          <w:tcPr/>
          <w:p>
            <w:pPr>
              <w:pStyle w:val="Compact"/>
            </w:pPr>
            <w:r>
              <w:rPr>
                <w:rFonts w:ascii="Times New Roman" w:hAnsi="Times New Roman" w:eastAsia="Times New Roman"/>
                <w:sz w:val="20"/>
              </w:rPr>
              <w:t xml:space="preserve">50 records</w:t>
            </w:r>
          </w:p>
        </w:tc>
      </w:tr>
      <w:tr>
        <w:tc>
          <w:tcPr/>
          <w:p>
            <w:pPr>
              <w:pStyle w:val="Compact"/>
            </w:pPr>
            <w:r>
              <w:rPr>
                <w:rFonts w:ascii="Times New Roman" w:hAnsi="Times New Roman" w:eastAsia="Times New Roman"/>
                <w:sz w:val="20"/>
              </w:rPr>
              <w:t xml:space="preserve">Total</w:t>
            </w:r>
          </w:p>
        </w:tc>
        <w:tc>
          <w:tcPr/>
          <w:p>
            <w:pPr>
              <w:pStyle w:val="Compact"/>
            </w:pPr>
            <w:r>
              <w:rPr>
                <w:rFonts w:ascii="Times New Roman" w:hAnsi="Times New Roman" w:eastAsia="Times New Roman"/>
                <w:sz w:val="20"/>
              </w:rPr>
              <w:t xml:space="preserve">Main norms plus background rules</w:t>
            </w:r>
          </w:p>
        </w:tc>
        <w:tc>
          <w:tcPr/>
          <w:p>
            <w:pPr>
              <w:pStyle w:val="Compact"/>
            </w:pPr>
            <w:r>
              <w:rPr>
                <w:rFonts w:ascii="Times New Roman" w:hAnsi="Times New Roman" w:eastAsia="Times New Roman"/>
                <w:sz w:val="20"/>
              </w:rP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31"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31"/>
    <w:bookmarkStart w:id="32"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32"/>
    <w:bookmarkEnd w:id="33"/>
    <w:bookmarkStart w:id="34"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4"/>
    <w:bookmarkStart w:id="35"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Validation check</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Schema validation</w:t>
            </w:r>
          </w:p>
        </w:tc>
        <w:tc>
          <w:tcPr/>
          <w:p>
            <w:pPr>
              <w:pStyle w:val="Compact"/>
            </w:pPr>
            <w:r>
              <w:rPr>
                <w:rFonts w:ascii="Times New Roman" w:hAnsi="Times New Roman" w:eastAsia="Times New Roman"/>
                <w:sz w:val="20"/>
              </w:rPr>
              <w:t xml:space="preserve">Confirms that each CSV has the expected columns.</w:t>
            </w:r>
          </w:p>
        </w:tc>
      </w:tr>
      <w:tr>
        <w:tc>
          <w:tcPr/>
          <w:p>
            <w:pPr>
              <w:pStyle w:val="Compact"/>
            </w:pPr>
            <w:r>
              <w:rPr>
                <w:rFonts w:ascii="Times New Roman" w:hAnsi="Times New Roman" w:eastAsia="Times New Roman"/>
                <w:sz w:val="20"/>
              </w:rPr>
              <w:t xml:space="preserve">Parser validation</w:t>
            </w:r>
          </w:p>
        </w:tc>
        <w:tc>
          <w:tcPr/>
          <w:p>
            <w:pPr>
              <w:pStyle w:val="Compact"/>
            </w:pPr>
            <w:r>
              <w:rPr>
                <w:rFonts w:ascii="Times New Roman" w:hAnsi="Times New Roman" w:eastAsia="Times New Roman"/>
                <w:sz w:val="20"/>
              </w:rPr>
              <w:t xml:space="preserve">Confirms that each formula can be parsed by the fixed grammar.</w:t>
            </w:r>
          </w:p>
        </w:tc>
      </w:tr>
      <w:tr>
        <w:tc>
          <w:tcPr/>
          <w:p>
            <w:pPr>
              <w:pStyle w:val="Compact"/>
            </w:pPr>
            <w:r>
              <w:rPr>
                <w:rFonts w:ascii="Times New Roman" w:hAnsi="Times New Roman" w:eastAsia="Times New Roman"/>
                <w:sz w:val="20"/>
              </w:rPr>
              <w:t xml:space="preserve">Formula-type markers</w:t>
            </w:r>
          </w:p>
        </w:tc>
        <w:tc>
          <w:tcPr/>
          <w:p>
            <w:pPr>
              <w:pStyle w:val="Compact"/>
            </w:pPr>
            <w:r>
              <w:rPr>
                <w:rFonts w:ascii="Times New Roman" w:hAnsi="Times New Roman" w:eastAsia="Times New Roman"/>
                <w:sz w:val="20"/>
              </w:rPr>
              <w:t xml:space="preserve">Checks that implication formulas contain -&gt; and dyadic formulas contain |.</w:t>
            </w:r>
          </w:p>
        </w:tc>
      </w:tr>
      <w:tr>
        <w:tc>
          <w:tcPr/>
          <w:p>
            <w:pPr>
              <w:pStyle w:val="Compact"/>
            </w:pPr>
            <w:r>
              <w:rPr>
                <w:rFonts w:ascii="Times New Roman" w:hAnsi="Times New Roman" w:eastAsia="Times New Roman"/>
                <w:sz w:val="20"/>
              </w:rPr>
              <w:t xml:space="preserve">Recommendation arity</w:t>
            </w:r>
          </w:p>
        </w:tc>
        <w:tc>
          <w:tcPr/>
          <w:p>
            <w:pPr>
              <w:pStyle w:val="Compact"/>
            </w:pPr>
            <w:r>
              <w:rPr>
                <w:rFonts w:ascii="Times New Roman" w:hAnsi="Times New Roman" w:eastAsia="Times New Roman"/>
                <w:sz w:val="20"/>
              </w:rPr>
              <w:t xml:space="preserve">Checks that stakeholder formulas use recommend(System,y,x).</w:t>
            </w:r>
          </w:p>
        </w:tc>
      </w:tr>
      <w:tr>
        <w:tc>
          <w:tcPr/>
          <w:p>
            <w:pPr>
              <w:pStyle w:val="Compact"/>
            </w:pPr>
            <w:r>
              <w:rPr>
                <w:rFonts w:ascii="Times New Roman" w:hAnsi="Times New Roman" w:eastAsia="Times New Roman"/>
                <w:sz w:val="20"/>
              </w:rPr>
              <w:t xml:space="preserve">Quantifier pattern</w:t>
            </w:r>
          </w:p>
        </w:tc>
        <w:tc>
          <w:tcPr/>
          <w:p>
            <w:pPr>
              <w:pStyle w:val="Compact"/>
            </w:pPr>
            <w:r>
              <w:rPr>
                <w:rFonts w:ascii="Times New Roman" w:hAnsi="Times New Roman" w:eastAsia="Times New Roman"/>
                <w:sz w:val="20"/>
              </w:rPr>
              <w:t xml:space="preserve">Checks stakeholder formulas start with ∀x.∀y. and constitutive rules start with ∀y.</w:t>
            </w:r>
          </w:p>
        </w:tc>
      </w:tr>
      <w:tr>
        <w:tc>
          <w:tcPr/>
          <w:p>
            <w:pPr>
              <w:pStyle w:val="Compact"/>
            </w:pPr>
            <w:r>
              <w:rPr>
                <w:rFonts w:ascii="Times New Roman" w:hAnsi="Times New Roman" w:eastAsia="Times New Roman"/>
                <w:sz w:val="20"/>
              </w:rPr>
              <w:t xml:space="preserve">Uniqueness</w:t>
            </w:r>
          </w:p>
        </w:tc>
        <w:tc>
          <w:tcPr/>
          <w:p>
            <w:pPr>
              <w:pStyle w:val="Compact"/>
            </w:pPr>
            <w:r>
              <w:rPr>
                <w:rFonts w:ascii="Times New Roman" w:hAnsi="Times New Roman" w:eastAsia="Times New Roman"/>
                <w:sz w:val="20"/>
              </w:rPr>
              <w:t xml:space="preserve">Flags duplicate ids, natural-language norms, or formulas.</w:t>
            </w:r>
          </w:p>
        </w:tc>
      </w:tr>
      <w:tr>
        <w:tc>
          <w:tcPr/>
          <w:p>
            <w:pPr>
              <w:pStyle w:val="Compact"/>
            </w:pPr>
            <w:r>
              <w:rPr>
                <w:rFonts w:ascii="Times New Roman" w:hAnsi="Times New Roman" w:eastAsia="Times New Roman"/>
                <w:sz w:val="20"/>
              </w:rPr>
              <w:t xml:space="preserve">Old-style guard</w:t>
            </w:r>
          </w:p>
        </w:tc>
        <w:tc>
          <w:tcPr/>
          <w:p>
            <w:pPr>
              <w:pStyle w:val="Compact"/>
            </w:pPr>
            <w:r>
              <w:rPr>
                <w:rFonts w:ascii="Times New Roman" w:hAnsi="Times New Roman" w:eastAsia="Times New Roman"/>
                <w:sz w:val="20"/>
              </w:rPr>
              <w:t xml:space="preserve">Rejects previous category-as-constant recommendation forms.</w:t>
            </w:r>
          </w:p>
        </w:tc>
      </w:tr>
    </w:tbl>
    <w:bookmarkEnd w:id="35"/>
    <w:bookmarkStart w:id="36"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6"/>
    <w:bookmarkStart w:id="37"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Score</w:t>
            </w:r>
          </w:p>
        </w:tc>
        <w:tc>
          <w:tcPr/>
          <w:p>
            <w:pPr>
              <w:pStyle w:val="Compact"/>
            </w:pPr>
            <w:r>
              <w:rPr>
                <w:rFonts w:ascii="Times New Roman" w:hAnsi="Times New Roman" w:eastAsia="Times New Roman"/>
                <w:sz w:val="20"/>
              </w:rPr>
              <w:t xml:space="preserve">Meaning</w:t>
            </w:r>
          </w:p>
        </w:tc>
        <w:tc>
          <w:tcPr/>
          <w:p>
            <w:pPr>
              <w:pStyle w:val="Compact"/>
            </w:pPr>
            <w:r>
              <w:rPr>
                <w:rFonts w:ascii="Times New Roman" w:hAnsi="Times New Roman" w:eastAsia="Times New Roman"/>
                <w:sz w:val="20"/>
              </w:rPr>
              <w:t xml:space="preserve">Use in thesis</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Strong automatic agreement</w:t>
            </w:r>
          </w:p>
        </w:tc>
        <w:tc>
          <w:tcPr/>
          <w:p>
            <w:pPr>
              <w:pStyle w:val="Compact"/>
            </w:pPr>
            <w:r>
              <w:rPr>
                <w:rFonts w:ascii="Times New Roman" w:hAnsi="Times New Roman" w:eastAsia="Times New Roman"/>
                <w:sz w:val="20"/>
              </w:rPr>
              <w:t xml:space="preserve">Likely semantically preserved, still sample-check manually.</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Partial agreement</w:t>
            </w:r>
          </w:p>
        </w:tc>
        <w:tc>
          <w:tcPr/>
          <w:p>
            <w:pPr>
              <w:pStyle w:val="Compact"/>
            </w:pPr>
            <w:r>
              <w:rPr>
                <w:rFonts w:ascii="Times New Roman" w:hAnsi="Times New Roman" w:eastAsia="Times New Roman"/>
                <w:sz w:val="20"/>
              </w:rPr>
              <w:t xml:space="preserve">Requires review of missing or weakened concepts.</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Possible mismatch</w:t>
            </w:r>
          </w:p>
        </w:tc>
        <w:tc>
          <w:tcPr/>
          <w:p>
            <w:pPr>
              <w:pStyle w:val="Compact"/>
            </w:pPr>
            <w:r>
              <w:rPr>
                <w:rFonts w:ascii="Times New Roman" w:hAnsi="Times New Roman" w:eastAsia="Times New Roman"/>
                <w:sz w:val="20"/>
              </w:rPr>
              <w:t xml:space="preserve">Priority candidate for human evaluation.</w:t>
            </w:r>
          </w:p>
        </w:tc>
      </w:tr>
    </w:tbl>
    <w:bookmarkEnd w:id="37"/>
    <w:bookmarkStart w:id="38"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8"/>
    <w:bookmarkStart w:id="39"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9"/>
    <w:bookmarkEnd w:id="40"/>
    <w:bookmarkStart w:id="50" w:name="chapter-4-results-and-discussion"/>
    <w:p>
      <w:pPr>
        <w:pStyle w:val="Heading1"/>
      </w:pPr>
      <w:r>
        <w:t xml:space="preserve">Chapter 4: Results and Discussion</w:t>
      </w:r>
    </w:p>
    <w:bookmarkStart w:id="41"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eastAsia="Times New Roman"/>
                <w:sz w:val="20"/>
              </w:rPr>
              <w:t xml:space="preserve">File</w:t>
            </w:r>
          </w:p>
        </w:tc>
        <w:tc>
          <w:tcPr/>
          <w:p>
            <w:pPr>
              <w:pStyle w:val="Compact"/>
            </w:pPr>
            <w:r>
              <w:rPr>
                <w:rFonts w:ascii="Times New Roman" w:hAnsi="Times New Roman" w:eastAsia="Times New Roman"/>
                <w:sz w:val="20"/>
              </w:rPr>
              <w:t xml:space="preserve">Rows</w:t>
            </w:r>
          </w:p>
        </w:tc>
        <w:tc>
          <w:tcPr/>
          <w:p>
            <w:pPr>
              <w:pStyle w:val="Compact"/>
            </w:pPr>
            <w:r>
              <w:rPr>
                <w:rFonts w:ascii="Times New Roman" w:hAnsi="Times New Roman" w:eastAsia="Times New Roman"/>
                <w:sz w:val="20"/>
              </w:rPr>
              <w:t xml:space="preserve">Formula columns</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data/revised/user_dataset.csv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User norms and preferences</w:t>
            </w:r>
          </w:p>
        </w:tc>
      </w:tr>
      <w:tr>
        <w:tc>
          <w:tcPr/>
          <w:p>
            <w:pPr>
              <w:pStyle w:val="Compact"/>
            </w:pPr>
            <w:r>
              <w:rPr>
                <w:rFonts w:ascii="Times New Roman" w:hAnsi="Times New Roman" w:eastAsia="Times New Roman"/>
                <w:sz w:val="20"/>
              </w:rPr>
              <w:t xml:space="preserve">data/revised/food_ministry_dataset.csv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Public-health and regulatory norms</w:t>
            </w:r>
          </w:p>
        </w:tc>
      </w:tr>
      <w:tr>
        <w:tc>
          <w:tcPr/>
          <w:p>
            <w:pPr>
              <w:pStyle w:val="Compact"/>
            </w:pPr>
            <w:r>
              <w:rPr>
                <w:rFonts w:ascii="Times New Roman" w:hAnsi="Times New Roman" w:eastAsia="Times New Roman"/>
                <w:sz w:val="20"/>
              </w:rPr>
              <w:t xml:space="preserve">data/revised/food_industry_dataset.csv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Commercial and product-placement norms</w:t>
            </w:r>
          </w:p>
        </w:tc>
      </w:tr>
      <w:tr>
        <w:tc>
          <w:tcPr/>
          <w:p>
            <w:pPr>
              <w:pStyle w:val="Compact"/>
            </w:pPr>
            <w:r>
              <w:rPr>
                <w:rFonts w:ascii="Times New Roman" w:hAnsi="Times New Roman" w:eastAsia="Times New Roman"/>
                <w:sz w:val="20"/>
              </w:rPr>
              <w:t xml:space="preserve">data/revised/constitutive_rules.csv</w:t>
            </w:r>
          </w:p>
        </w:tc>
        <w:tc>
          <w:tcPr/>
          <w:p>
            <w:pPr>
              <w:pStyle w:val="Compact"/>
            </w:pPr>
            <w:r>
              <w:rPr>
                <w:rFonts w:ascii="Times New Roman" w:hAnsi="Times New Roman" w:eastAsia="Times New Roman"/>
                <w:sz w:val="20"/>
              </w:rPr>
              <w:t xml:space="preserve">50</w:t>
            </w:r>
          </w:p>
        </w:tc>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Background domain classifications</w:t>
            </w:r>
          </w:p>
        </w:tc>
      </w:tr>
    </w:tbl>
    <w:bookmarkEnd w:id="41"/>
    <w:bookmarkStart w:id="42"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42"/>
    <w:bookmarkStart w:id="43"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3"/>
    <w:bookmarkStart w:id="44"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Records</w:t>
            </w:r>
          </w:p>
        </w:tc>
        <w:tc>
          <w:tcPr/>
          <w:p>
            <w:pPr>
              <w:pStyle w:val="Compact"/>
              <w:jc w:val="right"/>
            </w:pPr>
            <w:r>
              <w:rPr>
                <w:rFonts w:ascii="Times New Roman" w:hAnsi="Times New Roman" w:eastAsia="Times New Roman"/>
                <w:sz w:val="20"/>
              </w:rPr>
              <w:t xml:space="preserve">Formulas</w:t>
            </w:r>
          </w:p>
        </w:tc>
        <w:tc>
          <w:tcPr/>
          <w:p>
            <w:pPr>
              <w:pStyle w:val="Compact"/>
              <w:jc w:val="right"/>
            </w:pPr>
            <w:r>
              <w:rPr>
                <w:rFonts w:ascii="Times New Roman" w:hAnsi="Times New Roman" w:eastAsia="Times New Roman"/>
                <w:sz w:val="20"/>
              </w:rPr>
              <w:t xml:space="preserve">Errors</w:t>
            </w:r>
          </w:p>
        </w:tc>
        <w:tc>
          <w:tcPr/>
          <w:p>
            <w:pPr>
              <w:pStyle w:val="Compact"/>
              <w:jc w:val="right"/>
            </w:pPr>
            <w:r>
              <w:rPr>
                <w:rFonts w:ascii="Times New Roman" w:hAnsi="Times New Roman" w:eastAsia="Times New Roman"/>
                <w:sz w:val="20"/>
              </w:rPr>
              <w:t xml:space="preserve">Warnings</w:t>
            </w:r>
          </w:p>
        </w:tc>
      </w:tr>
      <w:tr>
        <w:tc>
          <w:tcPr/>
          <w:p>
            <w:pPr>
              <w:pStyle w:val="Compact"/>
            </w:pPr>
            <w:r>
              <w:rPr>
                <w:rFonts w:ascii="Times New Roman" w:hAnsi="Times New Roman" w:eastAsia="Times New Roman"/>
                <w:sz w:val="20"/>
              </w:rPr>
              <w:t xml:space="preserve">Baseline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r>
        <w:tc>
          <w:tcPr/>
          <w:p>
            <w:pPr>
              <w:pStyle w:val="Compact"/>
            </w:pPr>
            <w:r>
              <w:rPr>
                <w:rFonts w:ascii="Times New Roman" w:hAnsi="Times New Roman" w:eastAsia="Times New Roman"/>
                <w:sz w:val="20"/>
              </w:rPr>
              <w:t xml:space="preserve">Claude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Rows</w:t>
            </w:r>
          </w:p>
        </w:tc>
        <w:tc>
          <w:tcPr/>
          <w:p>
            <w:pPr>
              <w:pStyle w:val="Compact"/>
              <w:jc w:val="righ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Auto score 0</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538 (89.7%)</w:t>
            </w:r>
          </w:p>
        </w:tc>
        <w:tc>
          <w:tcPr/>
          <w:p>
            <w:pPr>
              <w:pStyle w:val="Compact"/>
              <w:jc w:val="right"/>
            </w:pPr>
            <w:r>
              <w:rPr>
                <w:rFonts w:ascii="Times New Roman" w:hAnsi="Times New Roman" w:eastAsia="Times New Roman"/>
                <w:sz w:val="20"/>
              </w:rPr>
              <w:t xml:space="preserve">40 (6.7%)</w:t>
            </w:r>
          </w:p>
        </w:tc>
        <w:tc>
          <w:tcPr/>
          <w:p>
            <w:pPr>
              <w:pStyle w:val="Compact"/>
              <w:jc w:val="right"/>
            </w:pPr>
            <w:r>
              <w:rPr>
                <w:rFonts w:ascii="Times New Roman" w:hAnsi="Times New Roman" w:eastAsia="Times New Roman"/>
                <w:sz w:val="20"/>
              </w:rPr>
              <w:t xml:space="preserve">22 (3.7%)</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550 (91.7%)</w:t>
            </w:r>
          </w:p>
        </w:tc>
        <w:tc>
          <w:tcPr/>
          <w:p>
            <w:pPr>
              <w:pStyle w:val="Compact"/>
              <w:jc w:val="right"/>
            </w:pPr>
            <w:r>
              <w:rPr>
                <w:rFonts w:ascii="Times New Roman" w:hAnsi="Times New Roman" w:eastAsia="Times New Roman"/>
                <w:sz w:val="20"/>
              </w:rPr>
              <w:t xml:space="preserve">46 (7.7%)</w:t>
            </w:r>
          </w:p>
        </w:tc>
        <w:tc>
          <w:tcPr/>
          <w:p>
            <w:pPr>
              <w:pStyle w:val="Compact"/>
              <w:jc w:val="right"/>
            </w:pPr>
            <w:r>
              <w:rPr>
                <w:rFonts w:ascii="Times New Roman" w:hAnsi="Times New Roman" w:eastAsia="Times New Roman"/>
                <w:sz w:val="20"/>
              </w:rPr>
              <w:t xml:space="preserve">4 (0.7%)</w:t>
            </w:r>
          </w:p>
        </w:tc>
      </w:tr>
    </w:tbl>
    <w:p>
      <w:pPr>
        <w:pStyle w:val="BodyText"/>
      </w:pPr>
      <w:r>
        <w:t xml:space="preserve">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Text"/>
      </w:pPr>
      <w:r>
        <w:t xml:space="preserve">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Reviewed rows</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Exact auto-human agreement</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112</w:t>
            </w:r>
          </w:p>
        </w:tc>
        <w:tc>
          <w:tcPr/>
          <w:p>
            <w:pPr>
              <w:pStyle w:val="Compact"/>
              <w:jc w:val="right"/>
            </w:pPr>
            <w:r>
              <w:rPr>
                <w:rFonts w:ascii="Times New Roman" w:hAnsi="Times New Roman" w:eastAsia="Times New Roman"/>
                <w:sz w:val="20"/>
              </w:rPr>
              <w:t xml:space="preserve">84 (75.0%)</w:t>
            </w:r>
          </w:p>
        </w:tc>
        <w:tc>
          <w:tcPr/>
          <w:p>
            <w:pPr>
              <w:pStyle w:val="Compact"/>
              <w:jc w:val="right"/>
            </w:pPr>
            <w:r>
              <w:rPr>
                <w:rFonts w:ascii="Times New Roman" w:hAnsi="Times New Roman" w:eastAsia="Times New Roman"/>
                <w:sz w:val="20"/>
              </w:rPr>
              <w:t xml:space="preserve">22 (19.6%)</w:t>
            </w:r>
          </w:p>
        </w:tc>
        <w:tc>
          <w:tcPr/>
          <w:p>
            <w:pPr>
              <w:pStyle w:val="Compact"/>
              <w:jc w:val="right"/>
            </w:pPr>
            <w:r>
              <w:rPr>
                <w:rFonts w:ascii="Times New Roman" w:hAnsi="Times New Roman" w:eastAsia="Times New Roman"/>
                <w:sz w:val="20"/>
              </w:rPr>
              <w:t xml:space="preserve">6 (5.4%)</w:t>
            </w:r>
          </w:p>
        </w:tc>
        <w:tc>
          <w:tcPr/>
          <w:p>
            <w:pPr>
              <w:pStyle w:val="Compact"/>
              <w:jc w:val="right"/>
            </w:pPr>
            <w:r>
              <w:rPr>
                <w:rFonts w:ascii="Times New Roman" w:hAnsi="Times New Roman" w:eastAsia="Times New Roman"/>
                <w:sz w:val="20"/>
              </w:rPr>
              <w:t xml:space="preserve">48/112 (42.9%)</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100</w:t>
            </w:r>
          </w:p>
        </w:tc>
        <w:tc>
          <w:tcPr/>
          <w:p>
            <w:pPr>
              <w:pStyle w:val="Compact"/>
              <w:jc w:val="right"/>
            </w:pPr>
            <w:r>
              <w:rPr>
                <w:rFonts w:ascii="Times New Roman" w:hAnsi="Times New Roman" w:eastAsia="Times New Roman"/>
                <w:sz w:val="20"/>
              </w:rPr>
              <w:t xml:space="preserve">61 (61.0%)</w:t>
            </w:r>
          </w:p>
        </w:tc>
        <w:tc>
          <w:tcPr/>
          <w:p>
            <w:pPr>
              <w:pStyle w:val="Compact"/>
              <w:jc w:val="right"/>
            </w:pPr>
            <w:r>
              <w:rPr>
                <w:rFonts w:ascii="Times New Roman" w:hAnsi="Times New Roman" w:eastAsia="Times New Roman"/>
                <w:sz w:val="20"/>
              </w:rPr>
              <w:t xml:space="preserve">37 (37.0%)</w:t>
            </w:r>
          </w:p>
        </w:tc>
        <w:tc>
          <w:tcPr/>
          <w:p>
            <w:pPr>
              <w:pStyle w:val="Compact"/>
              <w:jc w:val="right"/>
            </w:pPr>
            <w:r>
              <w:rPr>
                <w:rFonts w:ascii="Times New Roman" w:hAnsi="Times New Roman" w:eastAsia="Times New Roman"/>
                <w:sz w:val="20"/>
              </w:rPr>
              <w:t xml:space="preserve">2 (2.0%)</w:t>
            </w:r>
          </w:p>
        </w:tc>
        <w:tc>
          <w:tcPr/>
          <w:p>
            <w:pPr>
              <w:pStyle w:val="Compact"/>
              <w:jc w:val="right"/>
            </w:pPr>
            <w:r>
              <w:rPr>
                <w:rFonts w:ascii="Times New Roman" w:hAnsi="Times New Roman" w:eastAsia="Times New Roman"/>
                <w:sz w:val="20"/>
              </w:rPr>
              <w:t xml:space="preserve">81/100 (81.0%)</w:t>
            </w:r>
          </w:p>
        </w:tc>
      </w:tr>
    </w:tbl>
    <w:p>
      <w:pPr>
        <w:pStyle w:val="BodyText"/>
      </w:pPr>
      <w:r>
        <w:t xml:space="preserve">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Text"/>
      </w:pPr>
      <w:r>
        <w:t xml:space="preserve">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Text"/>
      </w:pPr>
      <w:r>
        <w:t xml:space="preserve">The detailed auto-human crosstabs show where the disagreements occurred.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ChatGPT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(18.2%)</w:t>
            </w:r>
          </w:p>
        </w:tc>
        <w:tc>
          <w:tcPr/>
          <w:p>
            <w:pPr>
              <w:pStyle w:val="Compact"/>
              <w:jc w:val="right"/>
            </w:pPr>
            <w:r>
              <w:rPr>
                <w:rFonts w:ascii="Times New Roman" w:hAnsi="Times New Roman" w:eastAsia="Times New Roman"/>
                <w:sz w:val="20"/>
              </w:rPr>
              <w:t xml:space="preserve">18 (81.8%)</w:t>
            </w:r>
          </w:p>
        </w:tc>
        <w:tc>
          <w:tcPr/>
          <w:p>
            <w:pPr>
              <w:pStyle w:val="Compact"/>
              <w:jc w:val="right"/>
            </w:pPr>
            <w:r>
              <w:rPr>
                <w:rFonts w:ascii="Times New Roman" w:hAnsi="Times New Roman" w:eastAsia="Times New Roman"/>
                <w:sz w:val="20"/>
              </w:rPr>
              <w:t xml:space="preserve">22</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6 (15.0%)</w:t>
            </w:r>
          </w:p>
        </w:tc>
        <w:tc>
          <w:tcPr/>
          <w:p>
            <w:pPr>
              <w:pStyle w:val="Compact"/>
              <w:jc w:val="right"/>
            </w:pPr>
            <w:r>
              <w:rPr>
                <w:rFonts w:ascii="Times New Roman" w:hAnsi="Times New Roman" w:eastAsia="Times New Roman"/>
                <w:sz w:val="20"/>
              </w:rPr>
              <w:t xml:space="preserve">8 (20.0%)</w:t>
            </w:r>
          </w:p>
        </w:tc>
        <w:tc>
          <w:tcPr/>
          <w:p>
            <w:pPr>
              <w:pStyle w:val="Compact"/>
              <w:jc w:val="right"/>
            </w:pPr>
            <w:r>
              <w:rPr>
                <w:rFonts w:ascii="Times New Roman" w:hAnsi="Times New Roman" w:eastAsia="Times New Roman"/>
                <w:sz w:val="20"/>
              </w:rPr>
              <w:t xml:space="preserve">26 (65.0%)</w:t>
            </w:r>
          </w:p>
        </w:tc>
        <w:tc>
          <w:tcPr/>
          <w:p>
            <w:pPr>
              <w:pStyle w:val="Compact"/>
              <w:jc w:val="right"/>
            </w:pPr>
            <w:r>
              <w:rPr>
                <w:rFonts w:ascii="Times New Roman" w:hAnsi="Times New Roman" w:eastAsia="Times New Roman"/>
                <w:sz w:val="20"/>
              </w:rPr>
              <w:t xml:space="preserve">40</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10 (20.0%)</w:t>
            </w:r>
          </w:p>
        </w:tc>
        <w:tc>
          <w:tcPr/>
          <w:p>
            <w:pPr>
              <w:pStyle w:val="Compact"/>
              <w:jc w:val="right"/>
            </w:pPr>
            <w:r>
              <w:rPr>
                <w:rFonts w:ascii="Times New Roman" w:hAnsi="Times New Roman" w:eastAsia="Times New Roman"/>
                <w:sz w:val="20"/>
              </w:rPr>
              <w:t xml:space="preserve">40 (80.0%)</w:t>
            </w:r>
          </w:p>
        </w:tc>
        <w:tc>
          <w:tcPr/>
          <w:p>
            <w:pPr>
              <w:pStyle w:val="Compact"/>
              <w:jc w:val="right"/>
            </w:pPr>
            <w:r>
              <w:rPr>
                <w:rFonts w:ascii="Times New Roman" w:hAnsi="Times New Roman" w:eastAsia="Times New Roman"/>
                <w:sz w:val="20"/>
              </w:rPr>
              <w:t xml:space="preserve">50</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Claude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(100.0%)</w:t>
            </w:r>
          </w:p>
        </w:tc>
        <w:tc>
          <w:tcPr/>
          <w:p>
            <w:pPr>
              <w:pStyle w:val="Compact"/>
              <w:jc w:val="right"/>
            </w:pPr>
            <w:r>
              <w:rPr>
                <w:rFonts w:ascii="Times New Roman" w:hAnsi="Times New Roman" w:eastAsia="Times New Roman"/>
                <w:sz w:val="20"/>
              </w:rPr>
              <w:t xml:space="preserve">4</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2 (4.3%)</w:t>
            </w:r>
          </w:p>
        </w:tc>
        <w:tc>
          <w:tcPr/>
          <w:p>
            <w:pPr>
              <w:pStyle w:val="Compact"/>
              <w:jc w:val="right"/>
            </w:pPr>
            <w:r>
              <w:rPr>
                <w:rFonts w:ascii="Times New Roman" w:hAnsi="Times New Roman" w:eastAsia="Times New Roman"/>
                <w:sz w:val="20"/>
              </w:rPr>
              <w:t xml:space="preserve">34 (73.9%)</w:t>
            </w:r>
          </w:p>
        </w:tc>
        <w:tc>
          <w:tcPr/>
          <w:p>
            <w:pPr>
              <w:pStyle w:val="Compact"/>
              <w:jc w:val="right"/>
            </w:pPr>
            <w:r>
              <w:rPr>
                <w:rFonts w:ascii="Times New Roman" w:hAnsi="Times New Roman" w:eastAsia="Times New Roman"/>
                <w:sz w:val="20"/>
              </w:rPr>
              <w:t xml:space="preserve">10 (21.7%)</w:t>
            </w:r>
          </w:p>
        </w:tc>
        <w:tc>
          <w:tcPr/>
          <w:p>
            <w:pPr>
              <w:pStyle w:val="Compact"/>
              <w:jc w:val="right"/>
            </w:pPr>
            <w:r>
              <w:rPr>
                <w:rFonts w:ascii="Times New Roman" w:hAnsi="Times New Roman" w:eastAsia="Times New Roman"/>
                <w:sz w:val="20"/>
              </w:rPr>
              <w:t xml:space="preserve">46</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3 (6.0%)</w:t>
            </w:r>
          </w:p>
        </w:tc>
        <w:tc>
          <w:tcPr/>
          <w:p>
            <w:pPr>
              <w:pStyle w:val="Compact"/>
              <w:jc w:val="right"/>
            </w:pPr>
            <w:r>
              <w:rPr>
                <w:rFonts w:ascii="Times New Roman" w:hAnsi="Times New Roman" w:eastAsia="Times New Roman"/>
                <w:sz w:val="20"/>
              </w:rPr>
              <w:t xml:space="preserve">47 (94.0%)</w:t>
            </w:r>
          </w:p>
        </w:tc>
        <w:tc>
          <w:tcPr/>
          <w:p>
            <w:pPr>
              <w:pStyle w:val="Compact"/>
              <w:jc w:val="right"/>
            </w:pPr>
            <w:r>
              <w:rPr>
                <w:rFonts w:ascii="Times New Roman" w:hAnsi="Times New Roman" w:eastAsia="Times New Roman"/>
                <w:sz w:val="20"/>
              </w:rPr>
              <w:t xml:space="preserve">50</w:t>
            </w:r>
          </w:p>
        </w:tc>
      </w:tr>
    </w:tbl>
    <w:p>
      <w:pPr>
        <w:pStyle w:val="BodyText"/>
      </w:pPr>
      <w:r>
        <w:t xml:space="preserve">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Text"/>
      </w:pPr>
      <w:r>
        <w:t xml:space="preserve">The human error-type distribution gives additional qualitative detail: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Error type</w:t>
            </w:r>
          </w:p>
        </w:tc>
        <w:tc>
          <w:tcPr/>
          <w:p>
            <w:pPr>
              <w:pStyle w:val="Compact"/>
              <w:jc w:val="right"/>
            </w:pPr>
            <w:r>
              <w:rPr>
                <w:rFonts w:ascii="Times New Roman" w:hAnsi="Times New Roman" w:eastAsia="Times New Roman"/>
                <w:sz w:val="20"/>
              </w:rPr>
              <w:t xml:space="preserve">ChatGPT baseline count</w:t>
            </w:r>
          </w:p>
        </w:tc>
        <w:tc>
          <w:tcPr/>
          <w:p>
            <w:pPr>
              <w:pStyle w:val="Compact"/>
              <w:jc w:val="right"/>
            </w:pPr>
            <w:r>
              <w:rPr>
                <w:rFonts w:ascii="Times New Roman" w:hAnsi="Times New Roman" w:eastAsia="Times New Roman"/>
                <w:sz w:val="20"/>
              </w:rPr>
              <w:t xml:space="preserve">ChatGPT baseline percent</w:t>
            </w:r>
          </w:p>
        </w:tc>
        <w:tc>
          <w:tcPr/>
          <w:p>
            <w:pPr>
              <w:pStyle w:val="Compact"/>
              <w:jc w:val="right"/>
            </w:pPr>
            <w:r>
              <w:rPr>
                <w:rFonts w:ascii="Times New Roman" w:hAnsi="Times New Roman" w:eastAsia="Times New Roman"/>
                <w:sz w:val="20"/>
              </w:rPr>
              <w:t xml:space="preserve">Claude count</w:t>
            </w:r>
          </w:p>
        </w:tc>
        <w:tc>
          <w:tcPr/>
          <w:p>
            <w:pPr>
              <w:pStyle w:val="Compact"/>
              <w:jc w:val="right"/>
            </w:pPr>
            <w:r>
              <w:rPr>
                <w:rFonts w:ascii="Times New Roman" w:hAnsi="Times New Roman" w:eastAsia="Times New Roman"/>
                <w:sz w:val="20"/>
              </w:rPr>
              <w:t xml:space="preserve">Claude percent</w:t>
            </w:r>
          </w:p>
        </w:tc>
      </w:tr>
      <w:tr>
        <w:tc>
          <w:tcPr/>
          <w:p>
            <w:pPr>
              <w:pStyle w:val="Compact"/>
            </w:pPr>
            <w:r>
              <w:rPr>
                <w:rFonts w:ascii="Times New Roman" w:hAnsi="Times New Roman" w:eastAsia="Times New Roman"/>
                <w:sz w:val="20"/>
              </w:rPr>
              <w:t xml:space="preserve">None</w:t>
            </w:r>
          </w:p>
        </w:tc>
        <w:tc>
          <w:tcPr/>
          <w:p>
            <w:pPr>
              <w:pStyle w:val="Compact"/>
              <w:jc w:val="right"/>
            </w:pPr>
            <w:r>
              <w:rPr>
                <w:rFonts w:ascii="Times New Roman" w:hAnsi="Times New Roman" w:eastAsia="Times New Roman"/>
                <w:sz w:val="20"/>
              </w:rPr>
              <w:t xml:space="preserve">48</w:t>
            </w:r>
          </w:p>
        </w:tc>
        <w:tc>
          <w:tcPr/>
          <w:p>
            <w:pPr>
              <w:pStyle w:val="Compact"/>
              <w:jc w:val="right"/>
            </w:pPr>
            <w:r>
              <w:rPr>
                <w:rFonts w:ascii="Times New Roman" w:hAnsi="Times New Roman" w:eastAsia="Times New Roman"/>
                <w:sz w:val="20"/>
              </w:rPr>
              <w:t xml:space="preserve">42.9%</w:t>
            </w:r>
          </w:p>
        </w:tc>
        <w:tc>
          <w:tcPr/>
          <w:p>
            <w:pPr>
              <w:pStyle w:val="Compact"/>
              <w:jc w:val="right"/>
            </w:pPr>
            <w:r>
              <w:rPr>
                <w:rFonts w:ascii="Times New Roman" w:hAnsi="Times New Roman" w:eastAsia="Times New Roman"/>
                <w:sz w:val="20"/>
              </w:rPr>
              <w:t xml:space="preserve">61</w:t>
            </w:r>
          </w:p>
        </w:tc>
        <w:tc>
          <w:tcPr/>
          <w:p>
            <w:pPr>
              <w:pStyle w:val="Compact"/>
              <w:jc w:val="right"/>
            </w:pPr>
            <w:r>
              <w:rPr>
                <w:rFonts w:ascii="Times New Roman" w:hAnsi="Times New Roman" w:eastAsia="Times New Roman"/>
                <w:sz w:val="20"/>
              </w:rPr>
              <w:t xml:space="preserve">61.0%</w:t>
            </w:r>
          </w:p>
        </w:tc>
      </w:tr>
      <w:tr>
        <w:tc>
          <w:tcPr/>
          <w:p>
            <w:pPr>
              <w:pStyle w:val="Compact"/>
            </w:pPr>
            <w:r>
              <w:rPr>
                <w:rFonts w:ascii="Times New Roman" w:hAnsi="Times New Roman" w:eastAsia="Times New Roman"/>
                <w:sz w:val="20"/>
              </w:rPr>
              <w:t xml:space="preserve">Awkward but equivalent</w:t>
            </w:r>
          </w:p>
        </w:tc>
        <w:tc>
          <w:tcPr/>
          <w:p>
            <w:pPr>
              <w:pStyle w:val="Compact"/>
              <w:jc w:val="right"/>
            </w:pPr>
            <w:r>
              <w:rPr>
                <w:rFonts w:ascii="Times New Roman" w:hAnsi="Times New Roman" w:eastAsia="Times New Roman"/>
                <w:sz w:val="20"/>
              </w:rPr>
              <w:t xml:space="preserve">36</w:t>
            </w:r>
          </w:p>
        </w:tc>
        <w:tc>
          <w:tcPr/>
          <w:p>
            <w:pPr>
              <w:pStyle w:val="Compact"/>
              <w:jc w:val="right"/>
            </w:pPr>
            <w:r>
              <w:rPr>
                <w:rFonts w:ascii="Times New Roman" w:hAnsi="Times New Roman" w:eastAsia="Times New Roman"/>
                <w:sz w:val="20"/>
              </w:rPr>
              <w:t xml:space="preserve">32.1%</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Lost meaning</w:t>
            </w:r>
          </w:p>
        </w:tc>
        <w:tc>
          <w:tcPr/>
          <w:p>
            <w:pPr>
              <w:pStyle w:val="Compact"/>
              <w:jc w:val="right"/>
            </w:pPr>
            <w:r>
              <w:rPr>
                <w:rFonts w:ascii="Times New Roman" w:hAnsi="Times New Roman" w:eastAsia="Times New Roman"/>
                <w:sz w:val="20"/>
              </w:rPr>
              <w:t xml:space="preserve">12</w:t>
            </w:r>
          </w:p>
        </w:tc>
        <w:tc>
          <w:tcPr/>
          <w:p>
            <w:pPr>
              <w:pStyle w:val="Compact"/>
              <w:jc w:val="right"/>
            </w:pPr>
            <w:r>
              <w:rPr>
                <w:rFonts w:ascii="Times New Roman" w:hAnsi="Times New Roman" w:eastAsia="Times New Roman"/>
                <w:sz w:val="20"/>
              </w:rPr>
              <w:t xml:space="preserve">10.7%</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Wrong condition</w:t>
            </w:r>
          </w:p>
        </w:tc>
        <w:tc>
          <w:tcPr/>
          <w:p>
            <w:pPr>
              <w:pStyle w:val="Compact"/>
              <w:jc w:val="right"/>
            </w:pPr>
            <w:r>
              <w:rPr>
                <w:rFonts w:ascii="Times New Roman" w:hAnsi="Times New Roman" w:eastAsia="Times New Roman"/>
                <w:sz w:val="20"/>
              </w:rPr>
              <w:t xml:space="preserve">8</w:t>
            </w:r>
          </w:p>
        </w:tc>
        <w:tc>
          <w:tcPr/>
          <w:p>
            <w:pPr>
              <w:pStyle w:val="Compact"/>
              <w:jc w:val="right"/>
            </w:pPr>
            <w:r>
              <w:rPr>
                <w:rFonts w:ascii="Times New Roman" w:hAnsi="Times New Roman" w:eastAsia="Times New Roman"/>
                <w:sz w:val="20"/>
              </w:rPr>
              <w:t xml:space="preserve">7.1%</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2.0%</w:t>
            </w:r>
          </w:p>
        </w:tc>
      </w:tr>
      <w:tr>
        <w:tc>
          <w:tcPr/>
          <w:p>
            <w:pPr>
              <w:pStyle w:val="Compact"/>
            </w:pPr>
            <w:r>
              <w:rPr>
                <w:rFonts w:ascii="Times New Roman" w:hAnsi="Times New Roman" w:eastAsia="Times New Roman"/>
                <w:sz w:val="20"/>
              </w:rPr>
              <w:t xml:space="preserve">Wrong action</w:t>
            </w:r>
          </w:p>
        </w:tc>
        <w:tc>
          <w:tcPr/>
          <w:p>
            <w:pPr>
              <w:pStyle w:val="Compact"/>
              <w:jc w:val="right"/>
            </w:pPr>
            <w:r>
              <w:rPr>
                <w:rFonts w:ascii="Times New Roman" w:hAnsi="Times New Roman" w:eastAsia="Times New Roman"/>
                <w:sz w:val="20"/>
              </w:rPr>
              <w:t xml:space="preserve">6</w:t>
            </w:r>
          </w:p>
        </w:tc>
        <w:tc>
          <w:tcPr/>
          <w:p>
            <w:pPr>
              <w:pStyle w:val="Compact"/>
              <w:jc w:val="right"/>
            </w:pPr>
            <w:r>
              <w:rPr>
                <w:rFonts w:ascii="Times New Roman" w:hAnsi="Times New Roman" w:eastAsia="Times New Roman"/>
                <w:sz w:val="20"/>
              </w:rPr>
              <w:t xml:space="preserve">5.4%</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Missing condition</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1.8%</w:t>
            </w:r>
          </w:p>
        </w:tc>
        <w:tc>
          <w:tcPr/>
          <w:p>
            <w:pPr>
              <w:pStyle w:val="Compact"/>
              <w:jc w:val="right"/>
            </w:pPr>
            <w:r>
              <w:rPr>
                <w:rFonts w:ascii="Times New Roman" w:hAnsi="Times New Roman" w:eastAsia="Times New Roman"/>
                <w:sz w:val="20"/>
              </w:rPr>
              <w:t xml:space="preserve">37</w:t>
            </w:r>
          </w:p>
        </w:tc>
        <w:tc>
          <w:tcPr/>
          <w:p>
            <w:pPr>
              <w:pStyle w:val="Compact"/>
              <w:jc w:val="right"/>
            </w:pPr>
            <w:r>
              <w:rPr>
                <w:rFonts w:ascii="Times New Roman" w:hAnsi="Times New Roman" w:eastAsia="Times New Roman"/>
                <w:sz w:val="20"/>
              </w:rPr>
              <w:t xml:space="preserve">37.0%</w:t>
            </w:r>
          </w:p>
        </w:tc>
      </w:tr>
    </w:tbl>
    <w:p>
      <w:pPr>
        <w:pStyle w:val="BodyText"/>
      </w:pPr>
      <w:r>
        <w:t xml:space="preserve">The error types suggest that the two datasets failed in different ways. The ChatGPT baseline had a broader mix of awkward-but-equivalent backtranslations, lost meaning, wrong conditions, wrong actions, and missing conditions. Claude’s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Text"/>
      </w:pPr>
      <w:r>
        <w:t xml:space="preserve">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rPr>
                <w:rFonts w:ascii="Times New Roman" w:hAnsi="Times New Roman" w:eastAsia="Times New Roman"/>
                <w:sz w:val="20"/>
              </w:rPr>
              <w:t xml:space="preserve">Source</w:t>
            </w:r>
          </w:p>
        </w:tc>
        <w:tc>
          <w:tcPr/>
          <w:p>
            <w:pPr>
              <w:pStyle w:val="Compact"/>
            </w:pPr>
            <w:r>
              <w:rPr>
                <w:rFonts w:ascii="Times New Roman" w:hAnsi="Times New Roman" w:eastAsia="Times New Roman"/>
                <w:sz w:val="20"/>
              </w:rPr>
              <w:t xml:space="preserve">Formula type</w:t>
            </w:r>
          </w:p>
        </w:tc>
        <w:tc>
          <w:tcPr/>
          <w:p>
            <w:pPr>
              <w:pStyle w:val="Compact"/>
              <w:jc w:val="right"/>
            </w:pPr>
            <w:r>
              <w:rPr>
                <w:rFonts w:ascii="Times New Roman" w:hAnsi="Times New Roman" w:eastAsia="Times New Roman"/>
                <w:sz w:val="20"/>
              </w:rPr>
              <w:t xml:space="preserve">Valid formulas</w:t>
            </w:r>
          </w:p>
        </w:tc>
        <w:tc>
          <w:tcPr/>
          <w:p>
            <w:pPr>
              <w:pStyle w:val="Compact"/>
              <w:jc w:val="right"/>
            </w:pPr>
            <w:r>
              <w:rPr>
                <w:rFonts w:ascii="Times New Roman" w:hAnsi="Times New Roman" w:eastAsia="Times New Roman"/>
                <w:sz w:val="20"/>
              </w:rPr>
              <w:t xml:space="preserve">Score 2</w:t>
            </w:r>
          </w:p>
        </w:tc>
        <w:tc>
          <w:tcPr/>
          <w:p>
            <w:pPr>
              <w:pStyle w:val="Compact"/>
              <w:jc w:val="right"/>
            </w:pPr>
            <w:r>
              <w:rPr>
                <w:rFonts w:ascii="Times New Roman" w:hAnsi="Times New Roman" w:eastAsia="Times New Roman"/>
                <w:sz w:val="20"/>
              </w:rPr>
              <w:t xml:space="preserve">Score 1</w:t>
            </w:r>
          </w:p>
        </w:tc>
        <w:tc>
          <w:tcPr/>
          <w:p>
            <w:pPr>
              <w:pStyle w:val="Compact"/>
              <w:jc w:val="right"/>
            </w:pPr>
            <w:r>
              <w:rPr>
                <w:rFonts w:ascii="Times New Roman" w:hAnsi="Times New Roman" w:eastAsia="Times New Roman"/>
                <w:sz w:val="20"/>
              </w:rPr>
              <w:t xml:space="preserve">Score 0</w:t>
            </w:r>
          </w:p>
        </w:tc>
        <w:tc>
          <w:tcPr/>
          <w:p>
            <w:pPr>
              <w:pStyle w:val="Compact"/>
              <w:jc w:val="right"/>
            </w:pPr>
            <w:r>
              <w:rPr>
                <w:rFonts w:ascii="Times New Roman" w:hAnsi="Times New Roman" w:eastAsia="Times New Roman"/>
                <w:sz w:val="20"/>
              </w:rPr>
              <w:t xml:space="preserve">Avg. AST nodes</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8.52</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7.52</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8.56</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4"/>
    <w:bookmarkStart w:id="49" w:name="discussion"/>
    <w:p>
      <w:pPr>
        <w:pStyle w:val="Heading2"/>
      </w:pPr>
      <w:r>
        <w:t xml:space="preserve">4.5 Discussion</w:t>
      </w:r>
    </w:p>
    <w:bookmarkStart w:id="45"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5"/>
    <w:bookmarkStart w:id="46"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6"/>
    <w:bookmarkStart w:id="47"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7"/>
    <w:bookmarkStart w:id="48"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8"/>
    <w:bookmarkEnd w:id="49"/>
    <w:bookmarkEnd w:id="50"/>
    <w:bookmarkStart w:id="54" w:name="chapter-5-conclusion-and-future-work"/>
    <w:p>
      <w:pPr>
        <w:pStyle w:val="Heading1"/>
      </w:pPr>
      <w:r>
        <w:t xml:space="preserve">Chapter 5: Conclusion and Future Work</w:t>
      </w:r>
    </w:p>
    <w:bookmarkStart w:id="51"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p>
    <w:bookmarkEnd w:id="51"/>
    <w:bookmarkStart w:id="52"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52"/>
    <w:bookmarkStart w:id="53"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3"/>
    <w:bookmarkEnd w:id="54"/>
    <w:bookmarkStart w:id="55" w:name="bibliography"/>
    <w:p>
      <w:pPr>
        <w:pStyle w:val="Heading1"/>
      </w:pPr>
      <w:r>
        <w:t xml:space="preserve">Bibliography</w:t>
      </w:r>
    </w:p>
    <w:p>
      <w:pPr>
        <w:pStyle w:val="FirstParagraph"/>
      </w:pPr>
      <w:r>
        <w:t xml:space="preserve">[0] DJ4ME. A DJ for Machine Ethics: the Dialogue Jiminy. University of Luxembourg project page. https://icr.uni.lu/dj4me/index.html</w:t>
      </w:r>
    </w:p>
    <w:p>
      <w:pPr>
        <w:pStyle w:val="BodyText"/>
      </w:pPr>
      <w:r>
        <w:t xml:space="preserve">[1] Yang, Y., Xiong, S., Payani, A., Shareghi, E., and Fekri, F. Harnessing the Power of Large Language Models for Natural Language to First-Order Logic Translation. arXiv:2305.15541, 2023.</w:t>
      </w:r>
    </w:p>
    <w:p>
      <w:pPr>
        <w:pStyle w:val="BodyText"/>
      </w:pPr>
      <w:r>
        <w:t xml:space="preserve">[2]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Text"/>
      </w:pPr>
      <w:r>
        <w:t xml:space="preserve">[3] Pan, L., Albalak, A., Wang, X., and Wang, W. Y. Logic-LM: Empowering Large Language Models with Symbolic Solvers for Faithful Logical Reasoning. arXiv:2305.12295, 2023.</w:t>
      </w:r>
    </w:p>
    <w:p>
      <w:pPr>
        <w:pStyle w:val="BodyText"/>
      </w:pPr>
      <w:r>
        <w:t xml:space="preserve">[4] Abdollahpouri, H., Burke, R., Mobasher, B., and Malthouse, E. C. Multi-Stakeholder Recommendation: Applications and Challenges. arXiv:1707.08913, 2017.</w:t>
      </w:r>
    </w:p>
    <w:p>
      <w:pPr>
        <w:pStyle w:val="BodyText"/>
      </w:pPr>
      <w:r>
        <w:t xml:space="preserve">[5] Abdollahpouri, H. Multi-stakeholder Recommendation and its Connection to Multi-sided Fairness. arXiv:1907.13158, 2019.</w:t>
      </w:r>
    </w:p>
    <w:p>
      <w:pPr>
        <w:pStyle w:val="BodyText"/>
      </w:pPr>
      <w:r>
        <w:t xml:space="preserve">[6] Olson, T., Salas-Damian, R., and Forbus, K. D. A Defeasible Deontic Calculus for Resolving Norm Conflicts. arXiv:2407.04869, 2024.</w:t>
      </w:r>
    </w:p>
    <w:p>
      <w:pPr>
        <w:pStyle w:val="BodyText"/>
      </w:pPr>
      <w:r>
        <w:t xml:space="preserve">[7] Dung, P. M. On the Acceptability of Arguments and its Fundamental Role in Nonmonotonic Reasoning, Logic Programming and n-Person Games. Artificial Intelligence, 77(2), 321-357, 1995.</w:t>
      </w:r>
    </w:p>
    <w:p>
      <w:pPr>
        <w:pStyle w:val="BodyText"/>
      </w:pPr>
      <w:r>
        <w:t xml:space="preserve">[8] Personalized Food Recommendation as Constrained Question Answering over a Large-Scale Food Knowledge Graph. arXiv:2101.01775, 2021.</w:t>
      </w:r>
    </w:p>
    <w:p>
      <w:pPr>
        <w:pStyle w:val="BodyText"/>
      </w:pPr>
      <w:r>
        <w:t xml:space="preserve">[9] Kamath, A., and Das, R. A Survey on Semantic Parsing. AKBC, 2019.</w:t>
      </w:r>
    </w:p>
    <w:p>
      <w:pPr>
        <w:pStyle w:val="BodyText"/>
      </w:pPr>
      <w:r>
        <w:t xml:space="preserve">[10] Ryu, H., Kim, G., Lee, H. S., and Yang, E. Divide and Translate: Compositional First-Order Logic Translation and Verification for Complex Logical Reasoning. arXiv:2410.08047, 2024.</w:t>
      </w:r>
    </w:p>
    <w:p>
      <w:pPr>
        <w:pStyle w:val="BodyText"/>
      </w:pPr>
      <w:r>
        <w:t xml:space="preserve">[11] Boella, G., Pigozzi, G., and van der Torre, L. Normative Systems in Computer Science: Ten Guidelines for Normative Multiagent Systems. Dagstuhl Seminar Proceedings, 2009. https://doi.org/10.4230/DagSemProc.09121.2</w:t>
      </w:r>
    </w:p>
    <w:p>
      <w:pPr>
        <w:pStyle w:val="BodyText"/>
      </w:pPr>
      <w:r>
        <w:t xml:space="preserve">[12] Mahmoud, M. A., Ahmad, M. S., Yusoff, M. Z. M., and Mustapha, A. A Review of Norms and Normative Multiagent Systems. The Scientific World Journal, 2014.</w:t>
      </w:r>
    </w:p>
    <w:p>
      <w:pPr>
        <w:pStyle w:val="BodyText"/>
      </w:pPr>
      <w:r>
        <w:t xml:space="preserve">[13] Santos, J. S., Zahn, J. O., Silvestre, E. A., and Silva, V. T. Detection and Resolution of Normative Conflicts in Multi-Agent Systems: A Literature Survey. Journal of Autonomous Agents and Multi-Agent Systems, 2017.</w:t>
      </w:r>
    </w:p>
    <w:p>
      <w:pPr>
        <w:pStyle w:val="BodyText"/>
      </w:pPr>
      <w:r>
        <w:t xml:space="preserve">[14] Pigozzi, G., and van der Torre, L. Multiagent Deontic Logic and its Challenges from a Normative Systems Perspective. Journal of Logics and Their Applications, 2017.</w:t>
      </w:r>
    </w:p>
    <w:p>
      <w:pPr>
        <w:pStyle w:val="BodyText"/>
      </w:pPr>
      <w:r>
        <w:t xml:space="preserve">[15] Felfernig, A., and Burke, R. Constraint-Based Recommender Systems: Technologies and Research Issues. In International Conference on Electronic Commerce, ACM, 2008, pp. 17-26.</w:t>
      </w:r>
    </w:p>
    <w:p>
      <w:pPr>
        <w:pStyle w:val="BodyText"/>
      </w:pPr>
      <w:r>
        <w:t xml:space="preserve">[16] Bondevik, J. N., Bennin, K. E., Babur, O., and Ersch, C. A Systematic Review on Food Recommender Systems. Expert Systems with Applications, 238, 122166, 2024.</w:t>
      </w:r>
    </w:p>
    <w:p>
      <w:pPr>
        <w:pStyle w:val="BodyText"/>
      </w:pPr>
      <w:r>
        <w:t xml:space="preserve">[17] Trattner, C., and Elsweiler, D. An Overview of Recommender Systems in the Healthy Food Domain. Journal of Intelligent Information Systems, 50, 501-526, 2018.</w:t>
      </w:r>
    </w:p>
    <w:p>
      <w:pPr>
        <w:pStyle w:val="BodyText"/>
      </w:pPr>
      <w:r>
        <w:t xml:space="preserve">[18] De Croon, R., Van Houdt, L., Htun, N. N., Slabbinck, H., Verbert, K., and Vanden Abeele, V. Health Recommender Systems: Systematic Review. Journal of Medical Internet Research, 2021.</w:t>
      </w:r>
    </w:p>
    <w:p>
      <w:pPr>
        <w:pStyle w:val="BodyText"/>
      </w:pPr>
      <w:r>
        <w:t xml:space="preserve">Draft note: Before submission, convert this bibliography into the citation style required by the programme and ensure that every bibliography item is cited consistently.</w:t>
      </w:r>
    </w:p>
    <w:bookmarkEnd w:id="55"/>
    <w:bookmarkStart w:id="56"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Source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56"/>
    <w:bookmarkStart w:id="57"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Field</w:t>
            </w:r>
          </w:p>
        </w:tc>
        <w:tc>
          <w:tcPr/>
          <w:p>
            <w:pPr>
              <w:pStyle w:val="Compact"/>
            </w:pPr>
            <w:r>
              <w:rPr>
                <w:rFonts w:ascii="Times New Roman" w:hAnsi="Times New Roman" w:eastAsia="Times New Roman"/>
                <w:sz w:val="20"/>
              </w:rPr>
              <w:t xml:space="preserve">Value</w:t>
            </w:r>
          </w:p>
        </w:tc>
      </w:tr>
      <w:tr>
        <w:tc>
          <w:tcPr/>
          <w:p>
            <w:pPr>
              <w:pStyle w:val="Compact"/>
            </w:pPr>
            <w:r>
              <w:rPr>
                <w:rFonts w:ascii="Times New Roman" w:hAnsi="Times New Roman" w:eastAsia="Times New Roman"/>
                <w:sz w:val="20"/>
              </w:rPr>
              <w:t xml:space="preserve">id</w:t>
            </w:r>
          </w:p>
        </w:tc>
        <w:tc>
          <w:tcPr/>
          <w:p>
            <w:pPr>
              <w:pStyle w:val="Compact"/>
            </w:pPr>
            <w:r>
              <w:rPr>
                <w:rFonts w:ascii="Times New Roman" w:hAnsi="Times New Roman" w:eastAsia="Times New Roman"/>
                <w:sz w:val="20"/>
              </w:rPr>
              <w:t xml:space="preserve">USER001</w:t>
            </w:r>
          </w:p>
        </w:tc>
      </w:tr>
      <w:tr>
        <w:tc>
          <w:tcPr/>
          <w:p>
            <w:pPr>
              <w:pStyle w:val="Compact"/>
            </w:pPr>
            <w:r>
              <w:rPr>
                <w:rFonts w:ascii="Times New Roman" w:hAnsi="Times New Roman" w:eastAsia="Times New Roman"/>
                <w:sz w:val="20"/>
              </w:rPr>
              <w:t xml:space="preserve">stakeholder</w:t>
            </w:r>
          </w:p>
        </w:tc>
        <w:tc>
          <w:tcPr/>
          <w:p>
            <w:pPr>
              <w:pStyle w:val="Compact"/>
            </w:pPr>
            <w:r>
              <w:rPr>
                <w:rFonts w:ascii="Times New Roman" w:hAnsi="Times New Roman" w:eastAsia="Times New Roman"/>
                <w:sz w:val="20"/>
              </w:rPr>
              <w:t xml:space="preserve">User</w:t>
            </w:r>
          </w:p>
        </w:tc>
      </w:tr>
      <w:tr>
        <w:tc>
          <w:tcPr/>
          <w:p>
            <w:pPr>
              <w:pStyle w:val="Compact"/>
            </w:pPr>
            <w:r>
              <w:rPr>
                <w:rFonts w:ascii="Times New Roman" w:hAnsi="Times New Roman" w:eastAsia="Times New Roman"/>
                <w:sz w:val="20"/>
              </w:rPr>
              <w:t xml:space="preserve">nl_norm</w:t>
            </w:r>
          </w:p>
        </w:tc>
        <w:tc>
          <w:tcPr/>
          <w:p>
            <w:pPr>
              <w:pStyle w:val="Compact"/>
            </w:pPr>
            <w:r>
              <w:rPr>
                <w:rFonts w:ascii="Times New Roman" w:hAnsi="Times New Roman" w:eastAsia="Times New Roman"/>
                <w:sz w:val="20"/>
              </w:rPr>
              <w:t xml:space="preserve">Children should not receive energy drink recommendations.</w:t>
            </w:r>
          </w:p>
        </w:tc>
      </w:tr>
      <w:tr>
        <w:tc>
          <w:tcPr/>
          <w:p>
            <w:pPr>
              <w:pStyle w:val="Compact"/>
            </w:pPr>
            <w:r>
              <w:rPr>
                <w:rFonts w:ascii="Times New Roman" w:hAnsi="Times New Roman" w:eastAsia="Times New Roman"/>
                <w:sz w:val="20"/>
              </w:rPr>
              <w:t xml:space="preserve">implication_formula</w:t>
            </w:r>
          </w:p>
        </w:tc>
        <w:tc>
          <w:tcPr/>
          <w:p>
            <w:pPr>
              <w:pStyle w:val="Compact"/>
            </w:pPr>
            <w:r>
              <w:rPr>
                <w:rFonts w:ascii="Times New Roman" w:hAnsi="Times New Roman" w:eastAsia="Times New Roman"/>
                <w:sz w:val="20"/>
              </w:rPr>
              <w:t xml:space="preserve">∀x.∀y.child(x)∧energyDrink(y)-&gt;F(recommend(System,y,x))</w:t>
            </w:r>
          </w:p>
        </w:tc>
      </w:tr>
      <w:tr>
        <w:tc>
          <w:tcPr/>
          <w:p>
            <w:pPr>
              <w:pStyle w:val="Compact"/>
            </w:pPr>
            <w:r>
              <w:rPr>
                <w:rFonts w:ascii="Times New Roman" w:hAnsi="Times New Roman" w:eastAsia="Times New Roman"/>
                <w:sz w:val="20"/>
              </w:rPr>
              <w:t xml:space="preserve">dyadic_formula</w:t>
            </w:r>
          </w:p>
        </w:tc>
        <w:tc>
          <w:tcPr/>
          <w:p>
            <w:pPr>
              <w:pStyle w:val="Compact"/>
            </w:pPr>
            <w:r>
              <w:rPr>
                <w:rFonts w:ascii="Times New Roman" w:hAnsi="Times New Roman" w:eastAsia="Times New Roman"/>
                <w:sz w:val="20"/>
              </w:rPr>
              <w:t xml:space="preserve">∀x.∀y.F(recommend(System,y,x)|child(x)∧energyDrink(y))</w:t>
            </w:r>
          </w:p>
        </w:tc>
      </w:tr>
      <w:tr>
        <w:tc>
          <w:tcPr/>
          <w:p>
            <w:pPr>
              <w:pStyle w:val="Compact"/>
            </w:pPr>
            <w:r>
              <w:rPr>
                <w:rFonts w:ascii="Times New Roman" w:hAnsi="Times New Roman" w:eastAsia="Times New Roman"/>
                <w:sz w:val="20"/>
              </w:rPr>
              <w:t xml:space="preserve">norm_type</w:t>
            </w:r>
          </w:p>
        </w:tc>
        <w:tc>
          <w:tcPr/>
          <w:p>
            <w:pPr>
              <w:pStyle w:val="Compact"/>
            </w:pPr>
            <w:r>
              <w:rPr>
                <w:rFonts w:ascii="Times New Roman" w:hAnsi="Times New Roman" w:eastAsia="Times New Roman"/>
                <w:sz w:val="20"/>
              </w:rPr>
              <w:t xml:space="preserve">prohibition</w:t>
            </w:r>
          </w:p>
        </w:tc>
      </w:tr>
    </w:tbl>
    <w:bookmarkEnd w:id="57"/>
    <w:bookmarkStart w:id="58"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Human score</w:t>
            </w:r>
          </w:p>
        </w:tc>
        <w:tc>
          <w:tcPr/>
          <w:p>
            <w:pPr>
              <w:pStyle w:val="Compact"/>
            </w:pPr>
            <w:r>
              <w:rPr>
                <w:rFonts w:ascii="Times New Roman" w:hAnsi="Times New Roman" w:eastAsia="Times New Roman"/>
                <w:sz w:val="20"/>
              </w:rPr>
              <w:t xml:space="preserve">Interpretation</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The backtranslation preserves the original norm.</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The backtranslation partially preserves the norm but loses or weakens some information.</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The backtranslation does not preserve the intended norm.</w:t>
            </w:r>
          </w:p>
        </w:tc>
      </w:tr>
    </w:tbl>
    <w:bookmarkEnd w:id="58"/>
    <w:sectPr>
      <w:footerReference w:type="default" r:id="rId10"/>
      <w:footnotePr>
        <w:numRestart w:val="eachSect"/>
      </w:footnotePr>
      <w:pgMar w:top="1440" w:bottom="1440" w:left="1440" w:right="1440" w:header="720" w:footer="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2026-07-30T06:10:19Z</dcterms:created>
  <dcterms:modified xsi:type="dcterms:W3CDTF">2026-07-30T06:10:19Z</dcterms:modified>
  <dc:description>Generated from thesis_working_draft_template_based.md. Logo source: Wikimedia Commons University of Luxembourg logo.</dc:description>
</cp:coreProperties>
</file>

<file path=docProps/custom.xml><?xml version="1.0" encoding="utf-8"?>
<Properties xmlns="http://schemas.openxmlformats.org/officeDocument/2006/custom-properties" xmlns:vt="http://schemas.openxmlformats.org/officeDocument/2006/docPropsVTypes"/>
</file>