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140.png" ContentType="image/png"/>
  <Override PartName="/word/media/rId149.png" ContentType="image/png"/>
  <Override PartName="/word/media/rId153.png" ContentType="image/png"/>
  <Override PartName="/word/media/rId158.png" ContentType="image/png"/>
  <Override PartName="/word/media/rId119.png" ContentType="image/png"/>
  <Override PartName="/word/media/rId92.png" ContentType="image/png"/>
  <Override PartName="/word/media/rId101.png" ContentType="image/png"/>
  <Override PartName="/word/media/rId105.png" ContentType="image/png"/>
  <Override PartName="/word/media/rId110.png" ContentType="image/png"/>
  <Override PartName="/word/media/rId71.png" ContentType="image/png"/>
  <Override PartName="/word/media/rId44.png" ContentType="image/png"/>
  <Override PartName="/word/media/rId53.png" ContentType="image/png"/>
  <Override PartName="/word/media/rId57.png" ContentType="image/png"/>
  <Override PartName="/word/media/rId62.png" ContentType="image/png"/>
  <Override PartName="/word/media/rId23.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 Figure"/>
      </w:pPr>
      <w:r>
        <w:drawing>
          <wp:inline>
            <wp:extent cx="5943600" cy="5040172"/>
            <wp:effectExtent b="0" l="0" r="0" t="0"/>
            <wp:docPr descr="University of Luxembourg logo" title="" id="120" name="Picture"/>
            <a:graphic>
              <a:graphicData uri="http://schemas.openxmlformats.org/drawingml/2006/picture">
                <pic:pic>
                  <pic:nvPicPr>
                    <pic:cNvPr descr="../assets/university_of_luxembourg_logo.png" id="121" name="Picture"/>
                    <pic:cNvPicPr>
                      <a:picLocks noChangeArrowheads="1" noChangeAspect="1"/>
                    </pic:cNvPicPr>
                  </pic:nvPicPr>
                  <pic:blipFill>
                    <a:blip r:embed="rId119"/>
                    <a:stretch>
                      <a:fillRect/>
                    </a:stretch>
                  </pic:blipFill>
                  <pic:spPr bwMode="auto">
                    <a:xfrm>
                      <a:off x="0" y="0"/>
                      <a:ext cx="5943600" cy="5040172"/>
                    </a:xfrm>
                    <a:prstGeom prst="rect">
                      <a:avLst/>
                    </a:prstGeom>
                    <a:noFill/>
                    <a:ln w="9525">
                      <a:noFill/>
                      <a:headEnd/>
                      <a:tailEnd/>
                    </a:ln>
                  </pic:spPr>
                </pic:pic>
              </a:graphicData>
            </a:graphic>
          </wp:inline>
        </w:drawing>
      </w:r>
    </w:p>
    <w:p>
      <w:pPr>
        <w:pStyle w:val="Image Caption"/>
      </w:pPr>
      <w:r>
        <w:t xml:space="preserve">University of Luxembourg logo</w:t>
      </w:r>
    </w:p>
    <w:p>
      <w:pPr>
        <w:pStyle w:val="Body Text"/>
      </w:pPr>
      <w:r>
        <w:t xml:space="preserve">Faculty of Science, Technology and Communication</w:t>
      </w:r>
    </w:p>
    <w:p>
      <w:pPr>
        <w:pStyle w:val="Body Text"/>
      </w:pPr>
      <w:r>
        <w:t xml:space="preserve">Leveraging LLMs for Agent-Based Normative Recommender Systems</w:t>
      </w:r>
    </w:p>
    <w:p>
      <w:pPr>
        <w:pStyle w:val="Body Text"/>
      </w:pPr>
      <w:r>
        <w:t xml:space="preserve">A Pipeline for Stakeholder Norm Translation, Validation, and Formulation Comparison</w:t>
      </w:r>
    </w:p>
    <w:p>
      <w:pPr>
        <w:pStyle w:val="Body Text"/>
      </w:pPr>
      <w:r>
        <w:t xml:space="preserve">Thesis Submitted in Partial Fulfillment of the Requirements for the Degree of Master in Information and Computer Sciences</w:t>
      </w:r>
    </w:p>
    <w:p>
      <w:pPr>
        <w:pStyle w:val="Body Text"/>
      </w:pPr>
      <w:r>
        <w:t xml:space="preserve">Author: Nabila Waheed</w:t>
      </w:r>
    </w:p>
    <w:p>
      <w:pPr>
        <w:pStyle w:val="Body Text"/>
      </w:pPr>
      <w:r>
        <w:t xml:space="preserve">Supervisor: Prof. Leon van der Torre</w:t>
      </w:r>
    </w:p>
    <w:p>
      <w:pPr>
        <w:pStyle w:val="Body Text"/>
      </w:pPr>
      <w:r>
        <w:t xml:space="preserve">Advisor: Matteo Magnini</w:t>
      </w:r>
    </w:p>
    <w:p>
      <w:pPr>
        <w:pStyle w:val="Body Text"/>
      </w:pPr>
      <w:r>
        <w:t xml:space="preserve">Reviewer: Reka Markovich</w:t>
      </w:r>
    </w:p>
    <w:p>
      <w:pPr>
        <w:pStyle w:val="Body Text"/>
      </w:pPr>
      <w:r>
        <w:t xml:space="preserve">Date: August 2026</w:t>
      </w:r>
    </w:p>
    <w:bookmarkStart w:id="122" w:name="abstract"/>
    <w:p>
      <w:pPr>
        <w:pStyle w:val="Heading1"/>
      </w:pPr>
      <w:r>
        <w:t xml:space="preserve">Abstract</w:t>
      </w:r>
    </w:p>
    <w:p>
      <w:pPr>
        <w:pStyle w:val="First 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t xml:space="preserve">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The revised backtranslation also exposed a ChatGPT formula-precedence issue that automatic scoring alone did not flag. This provides a reproducible DJ4ME-oriented norm-formalization pipeline.</w:t>
      </w:r>
    </w:p>
    <w:p>
      <w:pPr>
        <w:pStyle w:val="Body Text"/>
      </w:pPr>
      <w:r>
        <w:t xml:space="preserve">Keywords: large language models; deontic logic; first-order logic; normative recommender systems; stakeholder norms; grammar validation; abstract syntax trees; round-trip evaluation</w:t>
      </w:r>
    </w:p>
    <w:bookmarkEnd w:id="122"/>
    <w:bookmarkStart w:id="123" w:name="list-of-tables"/>
    <w:p>
      <w:pPr>
        <w:pStyle w:val="Heading1"/>
      </w:pPr>
      <w:r>
        <w:t xml:space="preserve">List of Tables</w:t>
      </w:r>
    </w:p>
    <w:p>
      <w:pPr>
        <w:pStyle w:val="First Paragraph"/>
      </w:pPr>
      <w:r>
        <w:t xml:space="preserve">Table 3.1 Dataset schemas and record counts</w:t>
      </w:r>
      <w:r>
        <w:t xml:space="preserve"> </w:t>
      </w:r>
      <w:r>
        <w:t xml:space="preserve">Table 3.2 Main validation checks</w:t>
      </w:r>
      <w:r>
        <w:t xml:space="preserve"> </w:t>
      </w:r>
      <w:r>
        <w:t xml:space="preserve">Table 3.3 Round-trip automatic score interpretation</w:t>
      </w:r>
      <w:r>
        <w:t xml:space="preserve"> </w:t>
      </w:r>
      <w:r>
        <w:t xml:space="preserve">Table 4.1 Dataset output files and purposes</w:t>
      </w:r>
      <w:r>
        <w:t xml:space="preserve"> </w:t>
      </w:r>
      <w:r>
        <w:t xml:space="preserve">Table 4.2 Parser validation comparison</w:t>
      </w:r>
      <w:r>
        <w:t xml:space="preserve"> </w:t>
      </w:r>
      <w:r>
        <w:t xml:space="preserve">Table 4.3 Automatic round-trip comparison between ChatGPT baseline and Claude</w:t>
      </w:r>
      <w:r>
        <w:t xml:space="preserve"> </w:t>
      </w:r>
      <w:r>
        <w:t xml:space="preserve">Table 4.4 Human review comparison between ChatGPT baseline and Claude</w:t>
      </w:r>
      <w:r>
        <w:t xml:space="preserve"> </w:t>
      </w:r>
      <w:r>
        <w:t xml:space="preserve">Table 4.5 Auto-human crosstab for the ChatGPT baseline</w:t>
      </w:r>
      <w:r>
        <w:t xml:space="preserve"> </w:t>
      </w:r>
      <w:r>
        <w:t xml:space="preserve">Table 4.6 Auto-human crosstab for Claude</w:t>
      </w:r>
      <w:r>
        <w:t xml:space="preserve"> </w:t>
      </w:r>
      <w:r>
        <w:t xml:space="preserve">Table 4.7 Human error-type comparison</w:t>
      </w:r>
      <w:r>
        <w:t xml:space="preserve"> </w:t>
      </w:r>
      <w:r>
        <w:t xml:space="preserve">Table 4.8 Implication-versus-dyadic comparison</w:t>
      </w:r>
      <w:r>
        <w:t xml:space="preserve"> </w:t>
      </w:r>
      <w:r>
        <w:t xml:space="preserve">Table B.1 Example dataset record</w:t>
      </w:r>
      <w:r>
        <w:t xml:space="preserve"> </w:t>
      </w:r>
      <w:r>
        <w:t xml:space="preserve">Table C.1 Human evaluation scoring rubric</w:t>
      </w:r>
    </w:p>
    <w:bookmarkEnd w:id="123"/>
    <w:bookmarkStart w:id="124" w:name="list-of-figures"/>
    <w:p>
      <w:pPr>
        <w:pStyle w:val="Heading1"/>
      </w:pPr>
      <w:r>
        <w:t xml:space="preserve">List of Figures</w:t>
      </w:r>
    </w:p>
    <w:p>
      <w:pPr>
        <w:pStyle w:val="First 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24"/>
    <w:bookmarkStart w:id="125" w:name="table-of-contents"/>
    <w:p>
      <w:pPr>
        <w:pStyle w:val="Heading1"/>
      </w:pPr>
      <w:r>
        <w:t xml:space="preserve">Table of Contents</w:t>
      </w:r>
    </w:p>
    <w:p>
      <w:pPr>
        <w:pStyle w:val="First 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 Text"/>
      </w:pPr>
      <w:r>
        <w:t xml:space="preserve">2 Literature Review</w:t>
      </w:r>
      <w:r>
        <w:t xml:space="preserve"> </w:t>
      </w:r>
      <w:r>
        <w:t xml:space="preserve">2.1 DJ4ME and Machine Ethics</w:t>
      </w:r>
      <w:r>
        <w:t xml:space="preserve"> </w:t>
      </w:r>
      <w:r>
        <w:t xml:space="preserve">2.2 Large Language Models and Formalization</w:t>
      </w:r>
      <w:r>
        <w:t xml:space="preserve"> </w:t>
      </w:r>
      <w:r>
        <w:t xml:space="preserve">2.3 Natural Language to Logic Translation</w:t>
      </w:r>
      <w:r>
        <w:t xml:space="preserve"> </w:t>
      </w:r>
      <w:r>
        <w:t xml:space="preserve">2.4 Deontic Logic and Normative Agents</w:t>
      </w:r>
      <w:r>
        <w:t xml:space="preserve"> </w:t>
      </w:r>
      <w:r>
        <w:t xml:space="preserve">2.5 Multi-Stakeholder Recommender Systems</w:t>
      </w:r>
      <w:r>
        <w:t xml:space="preserve"> </w:t>
      </w:r>
      <w:r>
        <w:t xml:space="preserve">2.6 Food Recommendation and Constraint-Aware Systems</w:t>
      </w:r>
      <w:r>
        <w:t xml:space="preserve"> </w:t>
      </w:r>
      <w:r>
        <w:t xml:space="preserve">2.7 Research Gap</w:t>
      </w:r>
    </w:p>
    <w:p>
      <w:pPr>
        <w:pStyle w:val="Body 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 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 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p>
      <w:pPr>
        <w:pStyle w:val="Body Text"/>
      </w:pPr>
      <w:r>
        <w:t xml:space="preserve">Bibliography</w:t>
      </w:r>
    </w:p>
    <w:p>
      <w:pPr>
        <w:pStyle w:val="Body Text"/>
      </w:pPr>
      <w:r>
        <w:t xml:space="preserve">Appendix A: Repository and Reproducibility</w:t>
      </w:r>
      <w:r>
        <w:t xml:space="preserve"> </w:t>
      </w:r>
      <w:r>
        <w:t xml:space="preserve">Appendix B: Example Dataset Record</w:t>
      </w:r>
      <w:r>
        <w:t xml:space="preserve"> </w:t>
      </w:r>
      <w:r>
        <w:t xml:space="preserve">Appendix C: Human Evaluation Form</w:t>
      </w:r>
    </w:p>
    <w:bookmarkEnd w:id="125"/>
    <w:bookmarkStart w:id="131" w:name="chapter-1-introduction"/>
    <w:p>
      <w:pPr>
        <w:pStyle w:val="Heading1"/>
      </w:pPr>
      <w:r>
        <w:t xml:space="preserve">Chapter 1: Introduction</w:t>
      </w:r>
    </w:p>
    <w:bookmarkStart w:id="126" w:name="background-and-motivation"/>
    <w:p>
      <w:pPr>
        <w:pStyle w:val="Heading 2"/>
      </w:pPr>
      <w:r>
        <w:t xml:space="preserve">1.1 Background and Motivation</w:t>
      </w:r>
    </w:p>
    <w:p>
      <w:pPr>
        <w:pStyle w:val="First 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26"/>
    <w:bookmarkStart w:id="127" w:name="problem-statement"/>
    <w:p>
      <w:pPr>
        <w:pStyle w:val="Heading 2"/>
      </w:pPr>
      <w:r>
        <w:t xml:space="preserve">1.2 Problem Statement</w:t>
      </w:r>
    </w:p>
    <w:p>
      <w:pPr>
        <w:pStyle w:val="First 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27"/>
    <w:bookmarkStart w:id="128" w:name="research-questions"/>
    <w:p>
      <w:pPr>
        <w:pStyle w:val="Heading 2"/>
      </w:pPr>
      <w:r>
        <w:t xml:space="preserve">1.3 Research Questions</w:t>
      </w:r>
    </w:p>
    <w:p>
      <w:pPr>
        <w:pStyle w:val="First Paragraph"/>
      </w:pPr>
      <w:r>
        <w:t xml:space="preserve">The main research question is:</w:t>
      </w:r>
    </w:p>
    <w:p>
      <w:pPr>
        <w:pStyle w:val="Body Text"/>
      </w:pPr>
      <w:r>
        <w:t xml:space="preserve">How can large language models support the translation, validation, and analysis of stakeholder norms for agent-based normative recommender systems?</w:t>
      </w:r>
    </w:p>
    <w:p>
      <w:pPr>
        <w:pStyle w:val="Body 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 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28"/>
    <w:bookmarkStart w:id="129" w:name="contributions"/>
    <w:p>
      <w:pPr>
        <w:pStyle w:val="Heading 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 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29"/>
    <w:bookmarkStart w:id="130" w:name="thesis-structure"/>
    <w:p>
      <w:pPr>
        <w:pStyle w:val="Heading 2"/>
      </w:pPr>
      <w:r>
        <w:t xml:space="preserve">1.5 Thesis Structure</w:t>
      </w:r>
    </w:p>
    <w:p>
      <w:pPr>
        <w:pStyle w:val="First 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130"/>
    <w:bookmarkEnd w:id="131"/>
    <w:bookmarkStart w:id="139" w:name="chapter-2-literature-review"/>
    <w:p>
      <w:pPr>
        <w:pStyle w:val="Heading1"/>
      </w:pPr>
      <w:r>
        <w:t xml:space="preserve">Chapter 2: Literature Review</w:t>
      </w:r>
    </w:p>
    <w:bookmarkStart w:id="132" w:name="dj4me-and-machine-ethics"/>
    <w:p>
      <w:pPr>
        <w:pStyle w:val="Heading 2"/>
      </w:pPr>
      <w:r>
        <w:t xml:space="preserve">2.1 DJ4ME and Machine Ethics</w:t>
      </w:r>
    </w:p>
    <w:p>
      <w:pPr>
        <w:pStyle w:val="First Paragraph"/>
      </w:pPr>
      <w:r>
        <w:t xml:space="preserve">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DJ4ME’s central architectural idea is that stakeholders can be represented by avatars. These avatars can hold norms and participate in reasoning or dialogue about what an autonomous agent should do.</w:t>
      </w:r>
    </w:p>
    <w:p>
      <w:pPr>
        <w:pStyle w:val="Body 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132"/>
    <w:bookmarkStart w:id="133" w:name="large-language-models-and-formalization"/>
    <w:p>
      <w:pPr>
        <w:pStyle w:val="Heading 2"/>
      </w:pPr>
      <w:r>
        <w:t xml:space="preserve">2.2 Large Language Models and Formalization</w:t>
      </w:r>
    </w:p>
    <w:p>
      <w:pPr>
        <w:pStyle w:val="First 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the ChatGPT baseline metadata: ChatGPT 5.5 with medium effort. This documentation is important because a future replication may not produce identical rows even when using the same prompt structure.</w:t>
      </w:r>
    </w:p>
    <w:p>
      <w:pPr>
        <w:pStyle w:val="Body 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133"/>
    <w:bookmarkStart w:id="134" w:name="natural-language-to-logic-translation"/>
    <w:p>
      <w:pPr>
        <w:pStyle w:val="Heading 2"/>
      </w:pPr>
      <w:r>
        <w:t xml:space="preserve">2.3 Natural Language to Logic Translation</w:t>
      </w:r>
    </w:p>
    <w:p>
      <w:pPr>
        <w:pStyle w:val="First Paragraph"/>
      </w:pPr>
      <w:r>
        <w:t xml:space="preserve">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t xml:space="preserve">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134"/>
    <w:bookmarkStart w:id="135" w:name="deontic-logic-and-normative-agents"/>
    <w:p>
      <w:pPr>
        <w:pStyle w:val="Heading 2"/>
      </w:pPr>
      <w:r>
        <w:t xml:space="preserve">2.4 Deontic Logic and Normative Agents</w:t>
      </w:r>
    </w:p>
    <w:p>
      <w:pPr>
        <w:pStyle w:val="First Paragraph"/>
      </w:pPr>
      <w:r>
        <w:t xml:space="preserve">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p>
    <w:bookmarkEnd w:id="135"/>
    <w:bookmarkStart w:id="136" w:name="multi-stakeholder-recommender-systems"/>
    <w:p>
      <w:pPr>
        <w:pStyle w:val="Heading 2"/>
      </w:pPr>
      <w:r>
        <w:t xml:space="preserve">2.5 Multi-Stakeholder Recommender Systems</w:t>
      </w:r>
    </w:p>
    <w:p>
      <w:pPr>
        <w:pStyle w:val="First 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136"/>
    <w:bookmarkStart w:id="137" w:name="X9077e2b780ff23d55839bf46c3a4fa7afa5e862"/>
    <w:p>
      <w:pPr>
        <w:pStyle w:val="Heading 2"/>
      </w:pPr>
      <w:r>
        <w:t xml:space="preserve">2.6 Food Recommendation and Constraint-Aware Systems</w:t>
      </w:r>
    </w:p>
    <w:p>
      <w:pPr>
        <w:pStyle w:val="First Paragraph"/>
      </w:pPr>
      <w:r>
        <w:t xml:space="preserve">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t xml:space="preserve">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137"/>
    <w:bookmarkStart w:id="138" w:name="research-gap"/>
    <w:p>
      <w:pPr>
        <w:pStyle w:val="Heading 2"/>
      </w:pPr>
      <w:r>
        <w:t xml:space="preserve">2.7 Research Gap</w:t>
      </w:r>
    </w:p>
    <w:p>
      <w:pPr>
        <w:pStyle w:val="First 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138"/>
    <w:bookmarkEnd w:id="139"/>
    <w:bookmarkStart w:id="162" w:name="chapter-3-methodology"/>
    <w:p>
      <w:pPr>
        <w:pStyle w:val="Heading1"/>
      </w:pPr>
      <w:r>
        <w:t xml:space="preserve">Chapter 3: Methodology</w:t>
      </w:r>
    </w:p>
    <w:bookmarkStart w:id="143" w:name="research-design"/>
    <w:p>
      <w:pPr>
        <w:pStyle w:val="Heading 2"/>
      </w:pPr>
      <w:r>
        <w:t xml:space="preserve">3.1 Research Design</w:t>
      </w:r>
    </w:p>
    <w:p>
      <w:pPr>
        <w:pStyle w:val="First 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t xml:space="preserve">Figure 3.1 gives the conceptual pipeline.</w:t>
      </w:r>
    </w:p>
    <w:p>
      <w:pPr>
        <w:pStyle w:val="Captioned Figure"/>
      </w:pPr>
      <w:r>
        <w:drawing>
          <wp:inline>
            <wp:extent cx="5943600" cy="1818042"/>
            <wp:effectExtent b="0" l="0" r="0" t="0"/>
            <wp:docPr descr="Figure 3.1 Overview of the norm formalization pipeline" title="" id="141" name="Picture"/>
            <a:graphic>
              <a:graphicData uri="http://schemas.openxmlformats.org/drawingml/2006/picture">
                <pic:pic>
                  <pic:nvPicPr>
                    <pic:cNvPr descr="../assets/figures/figure_3_1_pipeline.png" id="142" name="Picture"/>
                    <pic:cNvPicPr>
                      <a:picLocks noChangeArrowheads="1" noChangeAspect="1"/>
                    </pic:cNvPicPr>
                  </pic:nvPicPr>
                  <pic:blipFill>
                    <a:blip r:embed="rId140"/>
                    <a:stretch>
                      <a:fillRect/>
                    </a:stretch>
                  </pic:blipFill>
                  <pic:spPr bwMode="auto">
                    <a:xfrm>
                      <a:off x="0" y="0"/>
                      <a:ext cx="5943600" cy="1818042"/>
                    </a:xfrm>
                    <a:prstGeom prst="rect">
                      <a:avLst/>
                    </a:prstGeom>
                    <a:noFill/>
                    <a:ln w="9525">
                      <a:noFill/>
                      <a:headEnd/>
                      <a:tailEnd/>
                    </a:ln>
                  </pic:spPr>
                </pic:pic>
              </a:graphicData>
            </a:graphic>
          </wp:inline>
        </w:drawing>
      </w:r>
    </w:p>
    <w:p>
      <w:pPr>
        <w:pStyle w:val="Image Caption"/>
      </w:pPr>
      <w:r>
        <w:t xml:space="preserve">Figure 3.1 Overview of the norm formalization pipeline</w:t>
      </w:r>
    </w:p>
    <w:p>
      <w:pPr>
        <w:pStyle w:val="Body Text"/>
      </w:pPr>
      <w:r>
        <w:t xml:space="preserve">Figure 3.1. Overview of the norm formalization pipeline.</w:t>
      </w:r>
    </w:p>
    <w:p>
      <w:pPr>
        <w:pStyle w:val="Body 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using the saved prompt files without manual edits. The goal is to understand what the prompt-and-validation pipeline can produce, and where human review is still required, rather than to quietly repair errors without recording them.</w:t>
      </w:r>
    </w:p>
    <w:bookmarkEnd w:id="143"/>
    <w:bookmarkStart w:id="146" w:name="dataset-construction"/>
    <w:p>
      <w:pPr>
        <w:pStyle w:val="Heading 2"/>
      </w:pPr>
      <w:r>
        <w:t xml:space="preserve">3.2 Dataset Construction</w:t>
      </w:r>
    </w:p>
    <w:p>
      <w:pPr>
        <w:pStyle w:val="First 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pPr>
        <w:pStyle w:val="Body Text"/>
      </w:pPr>
      <w:r>
        <w:t xml:space="preserve">Table 3.1. Dataset schemas and record counts.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 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 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 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144" w:name="product-variables-and-predicates"/>
    <w:p>
      <w:pPr>
        <w:pStyle w:val="Heading 3"/>
      </w:pPr>
      <w:r>
        <w:t xml:space="preserve">3.2.1 Product Variables and Predicates</w:t>
      </w:r>
    </w:p>
    <w:p>
      <w:pPr>
        <w:pStyle w:val="First 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t xml:space="preserve">∀x.∀y.requiresGlutenFree(x)∧glutenFreeMeal(y)∧certifiedGlutenFree(y)-&gt;P(recommend(System,y,x))</w:t>
      </w:r>
    </w:p>
    <w:p>
      <w:pPr>
        <w:pStyle w:val="Body 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 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 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 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144"/>
    <w:bookmarkStart w:id="145" w:name="constitutive-rules"/>
    <w:p>
      <w:pPr>
        <w:pStyle w:val="Heading 3"/>
      </w:pPr>
      <w:r>
        <w:t xml:space="preserve">3.2.2 Constitutive Rules</w:t>
      </w:r>
    </w:p>
    <w:p>
      <w:pPr>
        <w:pStyle w:val="First 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t xml:space="preserve">∀y.shellfishMeal(y)-&gt;nonVegan(y)</w:t>
      </w:r>
    </w:p>
    <w:p>
      <w:pPr>
        <w:pStyle w:val="Body 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 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145"/>
    <w:bookmarkEnd w:id="146"/>
    <w:bookmarkStart w:id="147" w:name="X43d872b276146cc14c88dca57f929019d961aa0"/>
    <w:p>
      <w:pPr>
        <w:pStyle w:val="Heading 2"/>
      </w:pPr>
      <w:r>
        <w:t xml:space="preserve">3.3 Logic Grammar and Formalization Conventions</w:t>
      </w:r>
    </w:p>
    <w:p>
      <w:pPr>
        <w:pStyle w:val="First 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 Paragraph"/>
      </w:pPr>
      <w:r>
        <w:t xml:space="preserve">Example formalizations for the same natural-language norm are:</w:t>
      </w:r>
    </w:p>
    <w:p>
      <w:pPr>
        <w:pStyle w:val="Body 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 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147"/>
    <w:bookmarkStart w:id="148" w:name="parser-validation"/>
    <w:p>
      <w:pPr>
        <w:pStyle w:val="Heading 2"/>
      </w:pPr>
      <w:r>
        <w:t xml:space="preserve">3.4 Parser Validation</w:t>
      </w:r>
    </w:p>
    <w:p>
      <w:pPr>
        <w:pStyle w:val="First 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 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pPr>
        <w:pStyle w:val="Body Text"/>
      </w:pPr>
      <w:r>
        <w:t xml:space="preserve">Table 3.2. Main validation checks.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 |.</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148"/>
    <w:bookmarkStart w:id="152" w:name="ast-generation-and-normalization"/>
    <w:p>
      <w:pPr>
        <w:pStyle w:val="Heading 2"/>
      </w:pPr>
      <w:r>
        <w:t xml:space="preserve">3.5 AST Generation and Normalization</w:t>
      </w:r>
    </w:p>
    <w:p>
      <w:pPr>
        <w:pStyle w:val="First 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t xml:space="preserve">For example, an implication-based prohibition can be normalized as:</w:t>
      </w:r>
    </w:p>
    <w:p>
      <w:pPr>
        <w:pStyle w:val="Body 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 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 Text"/>
      </w:pPr>
      <w:r>
        <w:t xml:space="preserve">Figure 3.2 summarizes how a formula is converted into a structured AST and then normalized for comparison.</w:t>
      </w:r>
    </w:p>
    <w:p>
      <w:pPr>
        <w:pStyle w:val="Captioned Figure"/>
      </w:pPr>
      <w:r>
        <w:drawing>
          <wp:inline>
            <wp:extent cx="5943600" cy="2131497"/>
            <wp:effectExtent b="0" l="0" r="0" t="0"/>
            <wp:docPr descr="Figure 3.2 Formula-to-AST normalization flow" title="" id="150" name="Picture"/>
            <a:graphic>
              <a:graphicData uri="http://schemas.openxmlformats.org/drawingml/2006/picture">
                <pic:pic>
                  <pic:nvPicPr>
                    <pic:cNvPr descr="../assets/figures/figure_3_2_ast_flow.png" id="151" name="Picture"/>
                    <pic:cNvPicPr>
                      <a:picLocks noChangeArrowheads="1" noChangeAspect="1"/>
                    </pic:cNvPicPr>
                  </pic:nvPicPr>
                  <pic:blipFill>
                    <a:blip r:embed="rId149"/>
                    <a:stretch>
                      <a:fillRect/>
                    </a:stretch>
                  </pic:blipFill>
                  <pic:spPr bwMode="auto">
                    <a:xfrm>
                      <a:off x="0" y="0"/>
                      <a:ext cx="5943600" cy="2131497"/>
                    </a:xfrm>
                    <a:prstGeom prst="rect">
                      <a:avLst/>
                    </a:prstGeom>
                    <a:noFill/>
                    <a:ln w="9525">
                      <a:noFill/>
                      <a:headEnd/>
                      <a:tailEnd/>
                    </a:ln>
                  </pic:spPr>
                </pic:pic>
              </a:graphicData>
            </a:graphic>
          </wp:inline>
        </w:drawing>
      </w:r>
    </w:p>
    <w:p>
      <w:pPr>
        <w:pStyle w:val="Image Caption"/>
      </w:pPr>
      <w:r>
        <w:t xml:space="preserve">Figure 3.2 Formula-to-AST normalization flow</w:t>
      </w:r>
    </w:p>
    <w:p>
      <w:pPr>
        <w:pStyle w:val="Body Text"/>
      </w:pPr>
      <w:r>
        <w:t xml:space="preserve">Figure 3.2. Formula-to-AST normalization flow.</w:t>
      </w:r>
    </w:p>
    <w:p>
      <w:pPr>
        <w:pStyle w:val="Body 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152"/>
    <w:bookmarkStart w:id="156" w:name="round-trip-semantic-preservation"/>
    <w:p>
      <w:pPr>
        <w:pStyle w:val="Heading 2"/>
      </w:pPr>
      <w:r>
        <w:t xml:space="preserve">3.6 Round-Trip Semantic Preservation</w:t>
      </w:r>
    </w:p>
    <w:p>
      <w:pPr>
        <w:pStyle w:val="First 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 Text"/>
      </w:pPr>
      <w:r>
        <w:t xml:space="preserve">Figure 4.1 summarizes the round-trip semantic preservation workflow.</w:t>
      </w:r>
    </w:p>
    <w:p>
      <w:pPr>
        <w:pStyle w:val="Captioned Figure"/>
      </w:pPr>
      <w:r>
        <w:drawing>
          <wp:inline>
            <wp:extent cx="5943600" cy="2131497"/>
            <wp:effectExtent b="0" l="0" r="0" t="0"/>
            <wp:docPr descr="Figure 4.1 Round-trip semantic preservation workflow" title="" id="154" name="Picture"/>
            <a:graphic>
              <a:graphicData uri="http://schemas.openxmlformats.org/drawingml/2006/picture">
                <pic:pic>
                  <pic:nvPicPr>
                    <pic:cNvPr descr="../assets/figures/figure_4_1_roundtrip.png" id="155" name="Picture"/>
                    <pic:cNvPicPr>
                      <a:picLocks noChangeArrowheads="1" noChangeAspect="1"/>
                    </pic:cNvPicPr>
                  </pic:nvPicPr>
                  <pic:blipFill>
                    <a:blip r:embed="rId153"/>
                    <a:stretch>
                      <a:fillRect/>
                    </a:stretch>
                  </pic:blipFill>
                  <pic:spPr bwMode="auto">
                    <a:xfrm>
                      <a:off x="0" y="0"/>
                      <a:ext cx="5943600" cy="2131497"/>
                    </a:xfrm>
                    <a:prstGeom prst="rect">
                      <a:avLst/>
                    </a:prstGeom>
                    <a:noFill/>
                    <a:ln w="9525">
                      <a:noFill/>
                      <a:headEnd/>
                      <a:tailEnd/>
                    </a:ln>
                  </pic:spPr>
                </pic:pic>
              </a:graphicData>
            </a:graphic>
          </wp:inline>
        </w:drawing>
      </w:r>
    </w:p>
    <w:p>
      <w:pPr>
        <w:pStyle w:val="Image Caption"/>
      </w:pPr>
      <w:r>
        <w:t xml:space="preserve">Figure 4.1 Round-trip semantic preservation workflow</w:t>
      </w:r>
    </w:p>
    <w:p>
      <w:pPr>
        <w:pStyle w:val="Body Text"/>
      </w:pPr>
      <w:r>
        <w:t xml:space="preserve">Figure 4.1. Round-trip semantic preservation workflow.</w:t>
      </w:r>
    </w:p>
    <w:p>
      <w:pPr>
        <w:pStyle w:val="Body 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pPr>
        <w:pStyle w:val="Body Text"/>
      </w:pPr>
      <w:r>
        <w:t xml:space="preserve">Table 3.3. Round-trip automatic score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156"/>
    <w:bookmarkStart w:id="157" w:name="llm-comparison-and-human-semantic-review"/>
    <w:p>
      <w:pPr>
        <w:pStyle w:val="Heading 2"/>
      </w:pPr>
      <w:r>
        <w:t xml:space="preserve">3.7 LLM Comparison and Human Semantic Review</w:t>
      </w:r>
    </w:p>
    <w:p>
      <w:pPr>
        <w:pStyle w:val="First Paragraph"/>
      </w:pPr>
      <w:r>
        <w:t xml:space="preserve">To test whether the pipeline is model-specific or more generally useful, the thesis compares two LLM-generated datasets produced from the same prompt structure. The baseline dataset was generated with ChatGPT 5.5 using medium effort, while a second dataset was generated with Claude Opus 4.8 using high effort.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 Text"/>
      </w:pPr>
      <w:r>
        <w:t xml:space="preserve">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t xml:space="preserve">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157"/>
    <w:bookmarkStart w:id="161" w:name="scope-boundary-and-downstream-dj4me-use"/>
    <w:p>
      <w:pPr>
        <w:pStyle w:val="Heading 2"/>
      </w:pPr>
      <w:r>
        <w:t xml:space="preserve">3.8 Scope Boundary and Downstream DJ4ME Use</w:t>
      </w:r>
    </w:p>
    <w:p>
      <w:pPr>
        <w:pStyle w:val="First 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 Text"/>
      </w:pPr>
      <w:r>
        <w:t xml:space="preserve">Figure 4.2 shows how the thesis artifacts can later feed into DJ4ME-style avatar reasoning, dialogue, and explanation components.</w:t>
      </w:r>
    </w:p>
    <w:p>
      <w:pPr>
        <w:pStyle w:val="Captioned Figure"/>
      </w:pPr>
      <w:r>
        <w:drawing>
          <wp:inline>
            <wp:extent cx="5943600" cy="2456688"/>
            <wp:effectExtent b="0" l="0" r="0" t="0"/>
            <wp:docPr descr="Figure 4.2 Planned downstream use in DJ4ME" title="" id="159" name="Picture"/>
            <a:graphic>
              <a:graphicData uri="http://schemas.openxmlformats.org/drawingml/2006/picture">
                <pic:pic>
                  <pic:nvPicPr>
                    <pic:cNvPr descr="../assets/figures/figure_4_2_dj4me.png" id="160" name="Picture"/>
                    <pic:cNvPicPr>
                      <a:picLocks noChangeArrowheads="1" noChangeAspect="1"/>
                    </pic:cNvPicPr>
                  </pic:nvPicPr>
                  <pic:blipFill>
                    <a:blip r:embed="rId158"/>
                    <a:stretch>
                      <a:fillRect/>
                    </a:stretch>
                  </pic:blipFill>
                  <pic:spPr bwMode="auto">
                    <a:xfrm>
                      <a:off x="0" y="0"/>
                      <a:ext cx="5943600" cy="2456688"/>
                    </a:xfrm>
                    <a:prstGeom prst="rect">
                      <a:avLst/>
                    </a:prstGeom>
                    <a:noFill/>
                    <a:ln w="9525">
                      <a:noFill/>
                      <a:headEnd/>
                      <a:tailEnd/>
                    </a:ln>
                  </pic:spPr>
                </pic:pic>
              </a:graphicData>
            </a:graphic>
          </wp:inline>
        </w:drawing>
      </w:r>
    </w:p>
    <w:p>
      <w:pPr>
        <w:pStyle w:val="Image Caption"/>
      </w:pPr>
      <w:r>
        <w:t xml:space="preserve">Figure 4.2 Planned downstream use in DJ4ME</w:t>
      </w:r>
    </w:p>
    <w:p>
      <w:pPr>
        <w:pStyle w:val="Body Text"/>
      </w:pPr>
      <w:r>
        <w:t xml:space="preserve">Figure 4.2. Planned downstream use in DJ4ME.</w:t>
      </w:r>
    </w:p>
    <w:p>
      <w:pPr>
        <w:pStyle w:val="Body 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161"/>
    <w:bookmarkEnd w:id="162"/>
    <w:bookmarkStart w:id="172" w:name="chapter-4-results-and-discussion"/>
    <w:p>
      <w:pPr>
        <w:pStyle w:val="Heading1"/>
      </w:pPr>
      <w:r>
        <w:t xml:space="preserve">Chapter 4: Results and Discussion</w:t>
      </w:r>
    </w:p>
    <w:bookmarkStart w:id="163" w:name="dataset-outputs"/>
    <w:p>
      <w:pPr>
        <w:pStyle w:val="Heading 2"/>
      </w:pPr>
      <w:r>
        <w:t xml:space="preserve">4.1 Dataset Outputs</w:t>
      </w:r>
    </w:p>
    <w:p>
      <w:pPr>
        <w:pStyle w:val="First 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pPr>
        <w:pStyle w:val="Body Text"/>
      </w:pPr>
      <w:r>
        <w:t xml:space="preserve">Table 4.1. Dataset output files and purposes.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163"/>
    <w:bookmarkStart w:id="164" w:name="parser-validation-results"/>
    <w:p>
      <w:pPr>
        <w:pStyle w:val="Heading 2"/>
      </w:pPr>
      <w:r>
        <w:t xml:space="preserve">4.2 Parser Validation Results</w:t>
      </w:r>
    </w:p>
    <w:p>
      <w:pPr>
        <w:pStyle w:val="First Paragraph"/>
      </w:pPr>
      <w:r>
        <w:t xml:space="preserve">The validation script was run on the revised datasets. The current result is that all formulas pass grammar validation and structural checks. No warnings or errors were reported.</w:t>
      </w:r>
    </w:p>
    <w:p>
      <w:pPr>
        <w:pStyle w:val="Body 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 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164"/>
    <w:bookmarkStart w:id="165" w:name="ast-and-round-trip-outputs"/>
    <w:p>
      <w:pPr>
        <w:pStyle w:val="Heading 2"/>
      </w:pPr>
      <w:r>
        <w:t xml:space="preserve">4.3 AST and Round-Trip Outputs</w:t>
      </w:r>
    </w:p>
    <w:p>
      <w:pPr>
        <w:pStyle w:val="First 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 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165"/>
    <w:bookmarkStart w:id="166" w:name="claude-comparison-results"/>
    <w:p>
      <w:pPr>
        <w:pStyle w:val="Heading 2"/>
      </w:pPr>
      <w:r>
        <w:t xml:space="preserve">4.4 Claude Comparison Results</w:t>
      </w:r>
    </w:p>
    <w:p>
      <w:pPr>
        <w:pStyle w:val="First Paragraph"/>
      </w:pPr>
      <w:r>
        <w:t xml:space="preserve">To compare LLM performance under the same dataset-generation structure, a baseline dataset was generated with ChatGPT 5.5 using medium effort, and a second dataset batch was generated with Claude Opus 4.8 using high effort, the GitHub prompt files, and no manual edits. The Claude stakeholder datasets were generated on 2026-06-28, and the Claude constitutive rules were generated on 2026-07-03.</w:t>
      </w:r>
    </w:p>
    <w:p>
      <w:pPr>
        <w:pStyle w:val="Body Text"/>
      </w:pPr>
      <w:r>
        <w:t xml:space="preserve">The Claude revised dataset contained 350 records and 650 formulas, matching the baseline revised dataset. Both passed the same parser validation:</w:t>
      </w:r>
    </w:p>
    <w:p>
      <w:pPr>
        <w:pStyle w:val="Body Text"/>
      </w:pPr>
      <w:r>
        <w:t xml:space="preserve">Table 4.2. Parser validation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bl>
    <w:p>
      <w:pPr>
        <w:pStyle w:val="Body Text"/>
      </w:pPr>
      <w:r>
        <w:t xml:space="preserve">The automatic round-trip comparison covers the 300 stakeholder records and 600 stakeholder formulas in each dataset, because constitutive rules are background classifications rather than stakeholder norms. It gave the following result:</w:t>
      </w:r>
    </w:p>
    <w:p>
      <w:pPr>
        <w:pStyle w:val="Body Text"/>
      </w:pPr>
      <w:r>
        <w:t xml:space="preserve">Table 4.3. Automatic round-trip comparison between ChatGPT baseline and Claude.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Auto score 2</w:t>
            </w:r>
          </w:p>
        </w:tc>
        <w:tc>
          <w:tcPr/>
          <w:p>
            <w:pPr>
              <w:pStyle w:val="Compact"/>
              <w:jc w:val="right"/>
            </w:pPr>
            <w:r>
              <w:t xml:space="preserve">Auto score 1</w:t>
            </w:r>
          </w:p>
        </w:tc>
        <w:tc>
          <w:tcPr/>
          <w:p>
            <w:pPr>
              <w:pStyle w:val="Compact"/>
              <w:jc w:val="right"/>
            </w:pPr>
            <w:r>
              <w:t xml:space="preserve">Auto score 0</w:t>
            </w:r>
          </w:p>
        </w:tc>
      </w:tr>
      <w:tr>
        <w:tc>
          <w:tcPr/>
          <w:p>
            <w:pPr>
              <w:pStyle w:val="Compact"/>
            </w:pPr>
            <w:r>
              <w:t xml:space="preserve">ChatGPT baseline</w:t>
            </w:r>
          </w:p>
        </w:tc>
        <w:tc>
          <w:tcPr/>
          <w:p>
            <w:pPr>
              <w:pStyle w:val="Compact"/>
              <w:jc w:val="right"/>
            </w:pPr>
            <w:r>
              <w:t xml:space="preserve">600</w:t>
            </w:r>
          </w:p>
        </w:tc>
        <w:tc>
          <w:tcPr/>
          <w:p>
            <w:pPr>
              <w:pStyle w:val="Compact"/>
              <w:jc w:val="right"/>
            </w:pPr>
            <w:r>
              <w:t xml:space="preserve">540 (90.0%)</w:t>
            </w:r>
          </w:p>
        </w:tc>
        <w:tc>
          <w:tcPr/>
          <w:p>
            <w:pPr>
              <w:pStyle w:val="Compact"/>
              <w:jc w:val="right"/>
            </w:pPr>
            <w:r>
              <w:t xml:space="preserve">38 (6.3%)</w:t>
            </w:r>
          </w:p>
        </w:tc>
        <w:tc>
          <w:tcPr/>
          <w:p>
            <w:pPr>
              <w:pStyle w:val="Compact"/>
              <w:jc w:val="right"/>
            </w:pPr>
            <w:r>
              <w:t xml:space="preserve">22 (3.7%)</w:t>
            </w:r>
          </w:p>
        </w:tc>
      </w:tr>
      <w:tr>
        <w:tc>
          <w:tcPr/>
          <w:p>
            <w:pPr>
              <w:pStyle w:val="Compact"/>
            </w:pPr>
            <w:r>
              <w:t xml:space="preserve">Claude</w:t>
            </w:r>
          </w:p>
        </w:tc>
        <w:tc>
          <w:tcPr/>
          <w:p>
            <w:pPr>
              <w:pStyle w:val="Compact"/>
              <w:jc w:val="right"/>
            </w:pPr>
            <w:r>
              <w:t xml:space="preserve">600</w:t>
            </w:r>
          </w:p>
        </w:tc>
        <w:tc>
          <w:tcPr/>
          <w:p>
            <w:pPr>
              <w:pStyle w:val="Compact"/>
              <w:jc w:val="right"/>
            </w:pPr>
            <w:r>
              <w:t xml:space="preserve">582 (97.0%)</w:t>
            </w:r>
          </w:p>
        </w:tc>
        <w:tc>
          <w:tcPr/>
          <w:p>
            <w:pPr>
              <w:pStyle w:val="Compact"/>
              <w:jc w:val="right"/>
            </w:pPr>
            <w:r>
              <w:t xml:space="preserve">14 (2.3%)</w:t>
            </w:r>
          </w:p>
        </w:tc>
        <w:tc>
          <w:tcPr/>
          <w:p>
            <w:pPr>
              <w:pStyle w:val="Compact"/>
              <w:jc w:val="right"/>
            </w:pPr>
            <w:r>
              <w:t xml:space="preserve">4 (0.7%)</w:t>
            </w:r>
          </w:p>
        </w:tc>
      </w:tr>
    </w:tbl>
    <w:p>
      <w:pPr>
        <w:pStyle w:val="Body Text"/>
      </w:pPr>
      <w:r>
        <w:t xml:space="preserve">Table 4.3 shows that Claude produced more automatic score-2 rows than the ChatGPT baseline and substantially fewer automatic low-score rows. Claude had 582 score-2 rows out of 600, or 97.0%, compared with 540 out of 600, or 90.0%, for the ChatGPT baseline. The most visible difference is at the severe-error end of the scale: Claude produced 4 automatic score-0 rows, or 0.7%, while the ChatGPT baseline produced 22 automatic score-0 rows, or 3.7%.</w:t>
      </w:r>
    </w:p>
    <w:p>
      <w:pPr>
        <w:pStyle w:val="Body Text"/>
      </w:pPr>
      <w:r>
        <w:t xml:space="preserve">Human review was then used to check the automatic scores. The reviewed samples were selected in the same general spirit but are not identical in size. For the ChatGPT baseline, 112 rows were reviewed: all automatic score-0 and score-1 rows, 50 quality-control rows from automatic score-2 cases, and the two USER030 rows whose revised backtranslation exposed a formula-precedence issue. For Claude, 68 rows were reviewed: all automatic score-0 and score-1 rows plus a reproducible 50-row sample from automatic score-2 cases. The human review comparison is shown in Table 4.4.</w:t>
      </w:r>
    </w:p>
    <w:p>
      <w:pPr>
        <w:pStyle w:val="Body Text"/>
      </w:pPr>
      <w:r>
        <w:t xml:space="preserve">Table 4.4. Human review comparison between ChatGPT baseline and Claude.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Source</w:t>
            </w:r>
          </w:p>
        </w:tc>
        <w:tc>
          <w:tcPr/>
          <w:p>
            <w:pPr>
              <w:pStyle w:val="Compact"/>
              <w:jc w:val="right"/>
            </w:pPr>
            <w:r>
              <w:t xml:space="preserve">Reviewed rows</w:t>
            </w:r>
          </w:p>
        </w:tc>
        <w:tc>
          <w:tcPr/>
          <w:p>
            <w:pPr>
              <w:pStyle w:val="Compact"/>
              <w:jc w:val="right"/>
            </w:pPr>
            <w:r>
              <w:t xml:space="preserve">Human score 2</w:t>
            </w:r>
          </w:p>
        </w:tc>
        <w:tc>
          <w:tcPr/>
          <w:p>
            <w:pPr>
              <w:pStyle w:val="Compact"/>
              <w:jc w:val="right"/>
            </w:pPr>
            <w:r>
              <w:t xml:space="preserve">Human score 1</w:t>
            </w:r>
          </w:p>
        </w:tc>
        <w:tc>
          <w:tcPr/>
          <w:p>
            <w:pPr>
              <w:pStyle w:val="Compact"/>
              <w:jc w:val="right"/>
            </w:pPr>
            <w:r>
              <w:t xml:space="preserve">Human score 0</w:t>
            </w:r>
          </w:p>
        </w:tc>
        <w:tc>
          <w:tcPr/>
          <w:p>
            <w:pPr>
              <w:pStyle w:val="Compact"/>
              <w:jc w:val="right"/>
            </w:pPr>
            <w:r>
              <w:t xml:space="preserve">Exact auto-human agreement</w:t>
            </w:r>
          </w:p>
        </w:tc>
      </w:tr>
      <w:tr>
        <w:tc>
          <w:tcPr/>
          <w:p>
            <w:pPr>
              <w:pStyle w:val="Compact"/>
            </w:pPr>
            <w:r>
              <w:t xml:space="preserve">ChatGPT baseline</w:t>
            </w:r>
          </w:p>
        </w:tc>
        <w:tc>
          <w:tcPr/>
          <w:p>
            <w:pPr>
              <w:pStyle w:val="Compact"/>
              <w:jc w:val="right"/>
            </w:pPr>
            <w:r>
              <w:t xml:space="preserve">112</w:t>
            </w:r>
          </w:p>
        </w:tc>
        <w:tc>
          <w:tcPr/>
          <w:p>
            <w:pPr>
              <w:pStyle w:val="Compact"/>
              <w:jc w:val="right"/>
            </w:pPr>
            <w:r>
              <w:t xml:space="preserve">84 (75.0%)</w:t>
            </w:r>
          </w:p>
        </w:tc>
        <w:tc>
          <w:tcPr/>
          <w:p>
            <w:pPr>
              <w:pStyle w:val="Compact"/>
              <w:jc w:val="right"/>
            </w:pPr>
            <w:r>
              <w:t xml:space="preserve">24 (21.4%)</w:t>
            </w:r>
          </w:p>
        </w:tc>
        <w:tc>
          <w:tcPr/>
          <w:p>
            <w:pPr>
              <w:pStyle w:val="Compact"/>
              <w:jc w:val="right"/>
            </w:pPr>
            <w:r>
              <w:t xml:space="preserve">4 (3.6%)</w:t>
            </w:r>
          </w:p>
        </w:tc>
        <w:tc>
          <w:tcPr/>
          <w:p>
            <w:pPr>
              <w:pStyle w:val="Compact"/>
              <w:jc w:val="right"/>
            </w:pPr>
            <w:r>
              <w:t xml:space="preserve">48/112 (42.9%)</w:t>
            </w:r>
          </w:p>
        </w:tc>
      </w:tr>
      <w:tr>
        <w:tc>
          <w:tcPr/>
          <w:p>
            <w:pPr>
              <w:pStyle w:val="Compact"/>
            </w:pPr>
            <w:r>
              <w:t xml:space="preserve">Claude</w:t>
            </w:r>
          </w:p>
        </w:tc>
        <w:tc>
          <w:tcPr/>
          <w:p>
            <w:pPr>
              <w:pStyle w:val="Compact"/>
              <w:jc w:val="right"/>
            </w:pPr>
            <w:r>
              <w:t xml:space="preserve">68</w:t>
            </w:r>
          </w:p>
        </w:tc>
        <w:tc>
          <w:tcPr/>
          <w:p>
            <w:pPr>
              <w:pStyle w:val="Compact"/>
              <w:jc w:val="right"/>
            </w:pPr>
            <w:r>
              <w:t xml:space="preserve">63 (92.6%)</w:t>
            </w:r>
          </w:p>
        </w:tc>
        <w:tc>
          <w:tcPr/>
          <w:p>
            <w:pPr>
              <w:pStyle w:val="Compact"/>
              <w:jc w:val="right"/>
            </w:pPr>
            <w:r>
              <w:t xml:space="preserve">5 (7.4%)</w:t>
            </w:r>
          </w:p>
        </w:tc>
        <w:tc>
          <w:tcPr/>
          <w:p>
            <w:pPr>
              <w:pStyle w:val="Compact"/>
              <w:jc w:val="right"/>
            </w:pPr>
            <w:r>
              <w:t xml:space="preserve">0 (0.0%)</w:t>
            </w:r>
          </w:p>
        </w:tc>
        <w:tc>
          <w:tcPr/>
          <w:p>
            <w:pPr>
              <w:pStyle w:val="Compact"/>
              <w:jc w:val="right"/>
            </w:pPr>
            <w:r>
              <w:t xml:space="preserve">49/68 (72.1%)</w:t>
            </w:r>
          </w:p>
        </w:tc>
      </w:tr>
    </w:tbl>
    <w:p>
      <w:pPr>
        <w:pStyle w:val="Body Text"/>
      </w:pPr>
      <w:r>
        <w:t xml:space="preserve">The human results confirm that Claude had fewer severe semantic mismatches in the reviewed sample. None of the 68 reviewed Claude rows were assigned human score 0, compared with 4 of the 112 reviewed ChatGPT baseline rows. Claude also had fewer partial-preservation cases in the reviewed sample: 7.4% of reviewed Claude rows received human score 1, compared with 21.4% of reviewed ChatGPT baseline rows. The revised backtranslation therefore changed the interpretation of the comparison: instead of mainly showing Claude missing compound conditions, the final v2 results show Claude preserving most reviewed meanings while the ChatGPT baseline still contains a broader mix of semantic and wording issues.</w:t>
      </w:r>
    </w:p>
    <w:p>
      <w:pPr>
        <w:pStyle w:val="Body Text"/>
      </w:pPr>
      <w:r>
        <w:t xml:space="preserve">The exact auto-human agreement rate was also higher for Claude: 72.1%,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and it also included two automatic score-2 rows where human review found a wrong-condition issue caused by operator precedence.</w:t>
      </w:r>
    </w:p>
    <w:p>
      <w:pPr>
        <w:pStyle w:val="Body Text"/>
      </w:pPr>
      <w:r>
        <w:t xml:space="preserve">The detailed auto-human crosstabs show where the disagreements occurred.</w:t>
      </w:r>
    </w:p>
    <w:p>
      <w:pPr>
        <w:pStyle w:val="Body Text"/>
      </w:pPr>
      <w:r>
        <w:t xml:space="preserve">Table 4.5. Auto-human crosstab for the ChatGPT baseline.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ChatGPT auto score</w:t>
            </w:r>
          </w:p>
        </w:tc>
        <w:tc>
          <w:tcPr/>
          <w:p>
            <w:pPr>
              <w:pStyle w:val="Compact"/>
              <w:jc w:val="right"/>
            </w:pPr>
            <w:r>
              <w:t xml:space="preserve">Human score 0</w:t>
            </w:r>
          </w:p>
        </w:tc>
        <w:tc>
          <w:tcPr/>
          <w:p>
            <w:pPr>
              <w:pStyle w:val="Compact"/>
              <w:jc w:val="right"/>
            </w:pPr>
            <w:r>
              <w:t xml:space="preserve">Human score 1</w:t>
            </w:r>
          </w:p>
        </w:tc>
        <w:tc>
          <w:tcPr/>
          <w:p>
            <w:pPr>
              <w:pStyle w:val="Compact"/>
              <w:jc w:val="right"/>
            </w:pPr>
            <w:r>
              <w:t xml:space="preserve">Human score 2</w:t>
            </w:r>
          </w:p>
        </w:tc>
        <w:tc>
          <w:tcPr/>
          <w:p>
            <w:pPr>
              <w:pStyle w:val="Compact"/>
              <w:jc w:val="right"/>
            </w:pPr>
            <w:r>
              <w:t xml:space="preserve">Total</w:t>
            </w:r>
          </w:p>
        </w:tc>
      </w:tr>
      <w:tr>
        <w:tc>
          <w:tcPr/>
          <w:p>
            <w:pPr>
              <w:pStyle w:val="Compact"/>
            </w:pPr>
            <w:r>
              <w:t xml:space="preserve">Auto score 0</w:t>
            </w:r>
          </w:p>
        </w:tc>
        <w:tc>
          <w:tcPr/>
          <w:p>
            <w:pPr>
              <w:pStyle w:val="Compact"/>
              <w:jc w:val="right"/>
            </w:pPr>
            <w:r>
              <w:t xml:space="preserve">0 (0.0%)</w:t>
            </w:r>
          </w:p>
        </w:tc>
        <w:tc>
          <w:tcPr/>
          <w:p>
            <w:pPr>
              <w:pStyle w:val="Compact"/>
              <w:jc w:val="right"/>
            </w:pPr>
            <w:r>
              <w:t xml:space="preserve">4 (18.2%)</w:t>
            </w:r>
          </w:p>
        </w:tc>
        <w:tc>
          <w:tcPr/>
          <w:p>
            <w:pPr>
              <w:pStyle w:val="Compact"/>
              <w:jc w:val="right"/>
            </w:pPr>
            <w:r>
              <w:t xml:space="preserve">18 (81.8%)</w:t>
            </w:r>
          </w:p>
        </w:tc>
        <w:tc>
          <w:tcPr/>
          <w:p>
            <w:pPr>
              <w:pStyle w:val="Compact"/>
              <w:jc w:val="right"/>
            </w:pPr>
            <w:r>
              <w:t xml:space="preserve">22</w:t>
            </w:r>
          </w:p>
        </w:tc>
      </w:tr>
      <w:tr>
        <w:tc>
          <w:tcPr/>
          <w:p>
            <w:pPr>
              <w:pStyle w:val="Compact"/>
            </w:pPr>
            <w:r>
              <w:t xml:space="preserve">Auto score 1</w:t>
            </w:r>
          </w:p>
        </w:tc>
        <w:tc>
          <w:tcPr/>
          <w:p>
            <w:pPr>
              <w:pStyle w:val="Compact"/>
              <w:jc w:val="right"/>
            </w:pPr>
            <w:r>
              <w:t xml:space="preserve">4 (10.5%)</w:t>
            </w:r>
          </w:p>
        </w:tc>
        <w:tc>
          <w:tcPr/>
          <w:p>
            <w:pPr>
              <w:pStyle w:val="Compact"/>
              <w:jc w:val="right"/>
            </w:pPr>
            <w:r>
              <w:t xml:space="preserve">8 (21.1%)</w:t>
            </w:r>
          </w:p>
        </w:tc>
        <w:tc>
          <w:tcPr/>
          <w:p>
            <w:pPr>
              <w:pStyle w:val="Compact"/>
              <w:jc w:val="right"/>
            </w:pPr>
            <w:r>
              <w:t xml:space="preserve">26 (68.4%)</w:t>
            </w:r>
          </w:p>
        </w:tc>
        <w:tc>
          <w:tcPr/>
          <w:p>
            <w:pPr>
              <w:pStyle w:val="Compact"/>
              <w:jc w:val="right"/>
            </w:pPr>
            <w:r>
              <w:t xml:space="preserve">38</w:t>
            </w:r>
          </w:p>
        </w:tc>
      </w:tr>
      <w:tr>
        <w:tc>
          <w:tcPr/>
          <w:p>
            <w:pPr>
              <w:pStyle w:val="Compact"/>
            </w:pPr>
            <w:r>
              <w:t xml:space="preserve">Auto score 2</w:t>
            </w:r>
          </w:p>
        </w:tc>
        <w:tc>
          <w:tcPr/>
          <w:p>
            <w:pPr>
              <w:pStyle w:val="Compact"/>
              <w:jc w:val="right"/>
            </w:pPr>
            <w:r>
              <w:t xml:space="preserve">0 (0.0%)</w:t>
            </w:r>
          </w:p>
        </w:tc>
        <w:tc>
          <w:tcPr/>
          <w:p>
            <w:pPr>
              <w:pStyle w:val="Compact"/>
              <w:jc w:val="right"/>
            </w:pPr>
            <w:r>
              <w:t xml:space="preserve">12 (23.1%)</w:t>
            </w:r>
          </w:p>
        </w:tc>
        <w:tc>
          <w:tcPr/>
          <w:p>
            <w:pPr>
              <w:pStyle w:val="Compact"/>
              <w:jc w:val="right"/>
            </w:pPr>
            <w:r>
              <w:t xml:space="preserve">40 (76.9%)</w:t>
            </w:r>
          </w:p>
        </w:tc>
        <w:tc>
          <w:tcPr/>
          <w:p>
            <w:pPr>
              <w:pStyle w:val="Compact"/>
              <w:jc w:val="right"/>
            </w:pPr>
            <w:r>
              <w:t xml:space="preserve">52</w:t>
            </w:r>
          </w:p>
        </w:tc>
      </w:tr>
    </w:tbl>
    <w:p>
      <w:pPr>
        <w:pStyle w:val="Body Text"/>
      </w:pPr>
      <w:r>
        <w:t xml:space="preserve">Table 4.6. Auto-human crosstab for Claude.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Claude auto score</w:t>
            </w:r>
          </w:p>
        </w:tc>
        <w:tc>
          <w:tcPr/>
          <w:p>
            <w:pPr>
              <w:pStyle w:val="Compact"/>
              <w:jc w:val="right"/>
            </w:pPr>
            <w:r>
              <w:t xml:space="preserve">Human score 0</w:t>
            </w:r>
          </w:p>
        </w:tc>
        <w:tc>
          <w:tcPr/>
          <w:p>
            <w:pPr>
              <w:pStyle w:val="Compact"/>
              <w:jc w:val="right"/>
            </w:pPr>
            <w:r>
              <w:t xml:space="preserve">Human score 1</w:t>
            </w:r>
          </w:p>
        </w:tc>
        <w:tc>
          <w:tcPr/>
          <w:p>
            <w:pPr>
              <w:pStyle w:val="Compact"/>
              <w:jc w:val="right"/>
            </w:pPr>
            <w:r>
              <w:t xml:space="preserve">Human score 2</w:t>
            </w:r>
          </w:p>
        </w:tc>
        <w:tc>
          <w:tcPr/>
          <w:p>
            <w:pPr>
              <w:pStyle w:val="Compact"/>
              <w:jc w:val="right"/>
            </w:pPr>
            <w:r>
              <w:t xml:space="preserve">Total</w:t>
            </w:r>
          </w:p>
        </w:tc>
      </w:tr>
      <w:tr>
        <w:tc>
          <w:tcPr/>
          <w:p>
            <w:pPr>
              <w:pStyle w:val="Compact"/>
            </w:pPr>
            <w:r>
              <w:t xml:space="preserve">Auto score 0</w:t>
            </w:r>
          </w:p>
        </w:tc>
        <w:tc>
          <w:tcPr/>
          <w:p>
            <w:pPr>
              <w:pStyle w:val="Compact"/>
              <w:jc w:val="right"/>
            </w:pPr>
            <w:r>
              <w:t xml:space="preserve">0 (0.0%)</w:t>
            </w:r>
          </w:p>
        </w:tc>
        <w:tc>
          <w:tcPr/>
          <w:p>
            <w:pPr>
              <w:pStyle w:val="Compact"/>
              <w:jc w:val="right"/>
            </w:pPr>
            <w:r>
              <w:t xml:space="preserve">0 (0.0%)</w:t>
            </w:r>
          </w:p>
        </w:tc>
        <w:tc>
          <w:tcPr/>
          <w:p>
            <w:pPr>
              <w:pStyle w:val="Compact"/>
              <w:jc w:val="right"/>
            </w:pPr>
            <w:r>
              <w:t xml:space="preserve">4 (100.0%)</w:t>
            </w:r>
          </w:p>
        </w:tc>
        <w:tc>
          <w:tcPr/>
          <w:p>
            <w:pPr>
              <w:pStyle w:val="Compact"/>
              <w:jc w:val="right"/>
            </w:pPr>
            <w:r>
              <w:t xml:space="preserve">4</w:t>
            </w:r>
          </w:p>
        </w:tc>
      </w:tr>
      <w:tr>
        <w:tc>
          <w:tcPr/>
          <w:p>
            <w:pPr>
              <w:pStyle w:val="Compact"/>
            </w:pPr>
            <w:r>
              <w:t xml:space="preserve">Auto score 1</w:t>
            </w:r>
          </w:p>
        </w:tc>
        <w:tc>
          <w:tcPr/>
          <w:p>
            <w:pPr>
              <w:pStyle w:val="Compact"/>
              <w:jc w:val="right"/>
            </w:pPr>
            <w:r>
              <w:t xml:space="preserve">0 (0.0%)</w:t>
            </w:r>
          </w:p>
        </w:tc>
        <w:tc>
          <w:tcPr/>
          <w:p>
            <w:pPr>
              <w:pStyle w:val="Compact"/>
              <w:jc w:val="right"/>
            </w:pPr>
            <w:r>
              <w:t xml:space="preserve">2 (14.3%)</w:t>
            </w:r>
          </w:p>
        </w:tc>
        <w:tc>
          <w:tcPr/>
          <w:p>
            <w:pPr>
              <w:pStyle w:val="Compact"/>
              <w:jc w:val="right"/>
            </w:pPr>
            <w:r>
              <w:t xml:space="preserve">12 (85.7%)</w:t>
            </w:r>
          </w:p>
        </w:tc>
        <w:tc>
          <w:tcPr/>
          <w:p>
            <w:pPr>
              <w:pStyle w:val="Compact"/>
              <w:jc w:val="right"/>
            </w:pPr>
            <w:r>
              <w:t xml:space="preserve">14</w:t>
            </w:r>
          </w:p>
        </w:tc>
      </w:tr>
      <w:tr>
        <w:tc>
          <w:tcPr/>
          <w:p>
            <w:pPr>
              <w:pStyle w:val="Compact"/>
            </w:pPr>
            <w:r>
              <w:t xml:space="preserve">Auto score 2</w:t>
            </w:r>
          </w:p>
        </w:tc>
        <w:tc>
          <w:tcPr/>
          <w:p>
            <w:pPr>
              <w:pStyle w:val="Compact"/>
              <w:jc w:val="right"/>
            </w:pPr>
            <w:r>
              <w:t xml:space="preserve">0 (0.0%)</w:t>
            </w:r>
          </w:p>
        </w:tc>
        <w:tc>
          <w:tcPr/>
          <w:p>
            <w:pPr>
              <w:pStyle w:val="Compact"/>
              <w:jc w:val="right"/>
            </w:pPr>
            <w:r>
              <w:t xml:space="preserve">3 (6.0%)</w:t>
            </w:r>
          </w:p>
        </w:tc>
        <w:tc>
          <w:tcPr/>
          <w:p>
            <w:pPr>
              <w:pStyle w:val="Compact"/>
              <w:jc w:val="right"/>
            </w:pPr>
            <w:r>
              <w:t xml:space="preserve">47 (94.0%)</w:t>
            </w:r>
          </w:p>
        </w:tc>
        <w:tc>
          <w:tcPr/>
          <w:p>
            <w:pPr>
              <w:pStyle w:val="Compact"/>
              <w:jc w:val="right"/>
            </w:pPr>
            <w:r>
              <w:t xml:space="preserve">50</w:t>
            </w:r>
          </w:p>
        </w:tc>
      </w:tr>
    </w:tbl>
    <w:p>
      <w:pPr>
        <w:pStyle w:val="Body Text"/>
      </w:pPr>
      <w:r>
        <w:t xml:space="preserve">Tables 4.5 and 4.6 show two different patterns. In the ChatGPT baseline, many automatic low-score rows were judged faithful by the human reviewer: 18 of 22 automatic score-0 rows and 26 of 38 automatic score-1 rows received human score 2. This means the automatic evaluator was often too conservative for the baseline. At the same time, the two USER030 rows show the opposite risk: both received automatic score 2 because the backtranslation accurately reflected the formula, but human review assigned score 1 because the formula itself attached</w:t>
      </w:r>
      <w:r>
        <w:t xml:space="preserve"> </w:t>
      </w:r>
      <w:r>
        <w:rPr>
          <w:rStyle w:val="VerbatimChar"/>
        </w:rPr>
        <w:t xml:space="preserve">allergenSafeMeal(y)</w:t>
      </w:r>
      <w:r>
        <w:t xml:space="preserve"> </w:t>
      </w:r>
      <w:r>
        <w:t xml:space="preserve">only to the shellfish branch of a disjunction. In the Claude reviewed set, the automatic score-2 sample was strong, with 47 of 50 sampled rows confirmed as human score 2, and most automatic score-1 rows were also judged faithful after the revised backtranslation.</w:t>
      </w:r>
    </w:p>
    <w:p>
      <w:pPr>
        <w:pStyle w:val="Body Text"/>
      </w:pPr>
      <w:r>
        <w:t xml:space="preserve">The human error-type distribution gives additional qualitative detail:</w:t>
      </w:r>
    </w:p>
    <w:p>
      <w:pPr>
        <w:pStyle w:val="Body Text"/>
      </w:pPr>
      <w:r>
        <w:t xml:space="preserve">Table 4.7. Human error-type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Error type</w:t>
            </w:r>
          </w:p>
        </w:tc>
        <w:tc>
          <w:tcPr/>
          <w:p>
            <w:pPr>
              <w:pStyle w:val="Compact"/>
              <w:jc w:val="right"/>
            </w:pPr>
            <w:r>
              <w:t xml:space="preserve">ChatGPT baseline count</w:t>
            </w:r>
          </w:p>
        </w:tc>
        <w:tc>
          <w:tcPr/>
          <w:p>
            <w:pPr>
              <w:pStyle w:val="Compact"/>
              <w:jc w:val="right"/>
            </w:pPr>
            <w:r>
              <w:t xml:space="preserve">ChatGPT baseline percent</w:t>
            </w:r>
          </w:p>
        </w:tc>
        <w:tc>
          <w:tcPr/>
          <w:p>
            <w:pPr>
              <w:pStyle w:val="Compact"/>
              <w:jc w:val="right"/>
            </w:pPr>
            <w:r>
              <w:t xml:space="preserve">Claude count</w:t>
            </w:r>
          </w:p>
        </w:tc>
        <w:tc>
          <w:tcPr/>
          <w:p>
            <w:pPr>
              <w:pStyle w:val="Compact"/>
              <w:jc w:val="right"/>
            </w:pPr>
            <w:r>
              <w:t xml:space="preserve">Claude percent</w:t>
            </w:r>
          </w:p>
        </w:tc>
      </w:tr>
      <w:tr>
        <w:tc>
          <w:tcPr/>
          <w:p>
            <w:pPr>
              <w:pStyle w:val="Compact"/>
            </w:pPr>
            <w:r>
              <w:t xml:space="preserve">None</w:t>
            </w:r>
          </w:p>
        </w:tc>
        <w:tc>
          <w:tcPr/>
          <w:p>
            <w:pPr>
              <w:pStyle w:val="Compact"/>
              <w:jc w:val="right"/>
            </w:pPr>
            <w:r>
              <w:t xml:space="preserve">48</w:t>
            </w:r>
          </w:p>
        </w:tc>
        <w:tc>
          <w:tcPr/>
          <w:p>
            <w:pPr>
              <w:pStyle w:val="Compact"/>
              <w:jc w:val="right"/>
            </w:pPr>
            <w:r>
              <w:t xml:space="preserve">42.9%</w:t>
            </w:r>
          </w:p>
        </w:tc>
        <w:tc>
          <w:tcPr/>
          <w:p>
            <w:pPr>
              <w:pStyle w:val="Compact"/>
              <w:jc w:val="right"/>
            </w:pPr>
            <w:r>
              <w:t xml:space="preserve">63</w:t>
            </w:r>
          </w:p>
        </w:tc>
        <w:tc>
          <w:tcPr/>
          <w:p>
            <w:pPr>
              <w:pStyle w:val="Compact"/>
              <w:jc w:val="right"/>
            </w:pPr>
            <w:r>
              <w:t xml:space="preserve">92.6%</w:t>
            </w:r>
          </w:p>
        </w:tc>
      </w:tr>
      <w:tr>
        <w:tc>
          <w:tcPr/>
          <w:p>
            <w:pPr>
              <w:pStyle w:val="Compact"/>
            </w:pPr>
            <w:r>
              <w:t xml:space="preserve">Awkward but equivalent</w:t>
            </w:r>
          </w:p>
        </w:tc>
        <w:tc>
          <w:tcPr/>
          <w:p>
            <w:pPr>
              <w:pStyle w:val="Compact"/>
              <w:jc w:val="right"/>
            </w:pPr>
            <w:r>
              <w:t xml:space="preserve">36</w:t>
            </w:r>
          </w:p>
        </w:tc>
        <w:tc>
          <w:tcPr/>
          <w:p>
            <w:pPr>
              <w:pStyle w:val="Compact"/>
              <w:jc w:val="right"/>
            </w:pPr>
            <w:r>
              <w:t xml:space="preserve">32.1%</w:t>
            </w:r>
          </w:p>
        </w:tc>
        <w:tc>
          <w:tcPr/>
          <w:p>
            <w:pPr>
              <w:pStyle w:val="Compact"/>
              <w:jc w:val="right"/>
            </w:pPr>
            <w:r>
              <w:t xml:space="preserve">0</w:t>
            </w:r>
          </w:p>
        </w:tc>
        <w:tc>
          <w:tcPr/>
          <w:p>
            <w:pPr>
              <w:pStyle w:val="Compact"/>
              <w:jc w:val="right"/>
            </w:pPr>
            <w:r>
              <w:t xml:space="preserve">0.0%</w:t>
            </w:r>
          </w:p>
        </w:tc>
      </w:tr>
      <w:tr>
        <w:tc>
          <w:tcPr/>
          <w:p>
            <w:pPr>
              <w:pStyle w:val="Compact"/>
            </w:pPr>
            <w:r>
              <w:t xml:space="preserve">Lost meaning</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0</w:t>
            </w:r>
          </w:p>
        </w:tc>
        <w:tc>
          <w:tcPr/>
          <w:p>
            <w:pPr>
              <w:pStyle w:val="Compact"/>
              <w:jc w:val="right"/>
            </w:pPr>
            <w:r>
              <w:t xml:space="preserve">0.0%</w:t>
            </w:r>
          </w:p>
        </w:tc>
      </w:tr>
      <w:tr>
        <w:tc>
          <w:tcPr/>
          <w:p>
            <w:pPr>
              <w:pStyle w:val="Compact"/>
            </w:pPr>
            <w:r>
              <w:t xml:space="preserve">Wrong condition</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2</w:t>
            </w:r>
          </w:p>
        </w:tc>
        <w:tc>
          <w:tcPr/>
          <w:p>
            <w:pPr>
              <w:pStyle w:val="Compact"/>
              <w:jc w:val="right"/>
            </w:pPr>
            <w:r>
              <w:t xml:space="preserve">2.9%</w:t>
            </w:r>
          </w:p>
        </w:tc>
      </w:tr>
      <w:tr>
        <w:tc>
          <w:tcPr/>
          <w:p>
            <w:pPr>
              <w:pStyle w:val="Compact"/>
            </w:pPr>
            <w:r>
              <w:t xml:space="preserve">Wrong action</w:t>
            </w:r>
          </w:p>
        </w:tc>
        <w:tc>
          <w:tcPr/>
          <w:p>
            <w:pPr>
              <w:pStyle w:val="Compact"/>
              <w:jc w:val="right"/>
            </w:pPr>
            <w:r>
              <w:t xml:space="preserve">6</w:t>
            </w:r>
          </w:p>
        </w:tc>
        <w:tc>
          <w:tcPr/>
          <w:p>
            <w:pPr>
              <w:pStyle w:val="Compact"/>
              <w:jc w:val="right"/>
            </w:pPr>
            <w:r>
              <w:t xml:space="preserve">5.4%</w:t>
            </w:r>
          </w:p>
        </w:tc>
        <w:tc>
          <w:tcPr/>
          <w:p>
            <w:pPr>
              <w:pStyle w:val="Compact"/>
              <w:jc w:val="right"/>
            </w:pPr>
            <w:r>
              <w:t xml:space="preserve">0</w:t>
            </w:r>
          </w:p>
        </w:tc>
        <w:tc>
          <w:tcPr/>
          <w:p>
            <w:pPr>
              <w:pStyle w:val="Compact"/>
              <w:jc w:val="right"/>
            </w:pPr>
            <w:r>
              <w:t xml:space="preserve">0.0%</w:t>
            </w:r>
          </w:p>
        </w:tc>
      </w:tr>
      <w:tr>
        <w:tc>
          <w:tcPr/>
          <w:p>
            <w:pPr>
              <w:pStyle w:val="Compact"/>
            </w:pPr>
            <w:r>
              <w:t xml:space="preserve">Missing condition</w:t>
            </w:r>
          </w:p>
        </w:tc>
        <w:tc>
          <w:tcPr/>
          <w:p>
            <w:pPr>
              <w:pStyle w:val="Compact"/>
              <w:jc w:val="right"/>
            </w:pPr>
            <w:r>
              <w:t xml:space="preserve">2</w:t>
            </w:r>
          </w:p>
        </w:tc>
        <w:tc>
          <w:tcPr/>
          <w:p>
            <w:pPr>
              <w:pStyle w:val="Compact"/>
              <w:jc w:val="right"/>
            </w:pPr>
            <w:r>
              <w:t xml:space="preserve">1.8%</w:t>
            </w:r>
          </w:p>
        </w:tc>
        <w:tc>
          <w:tcPr/>
          <w:p>
            <w:pPr>
              <w:pStyle w:val="Compact"/>
              <w:jc w:val="right"/>
            </w:pPr>
            <w:r>
              <w:t xml:space="preserve">3</w:t>
            </w:r>
          </w:p>
        </w:tc>
        <w:tc>
          <w:tcPr/>
          <w:p>
            <w:pPr>
              <w:pStyle w:val="Compact"/>
              <w:jc w:val="right"/>
            </w:pPr>
            <w:r>
              <w:t xml:space="preserve">4.4%</w:t>
            </w:r>
          </w:p>
        </w:tc>
      </w:tr>
    </w:tbl>
    <w:p>
      <w:pPr>
        <w:pStyle w:val="Body Text"/>
      </w:pPr>
      <w:r>
        <w:t xml:space="preserve">The error types suggest that the two datasets failed in different ways. The ChatGPT baseline had a broader mix of awkward-but-equivalent backtranslations, lost meaning, wrong conditions, wrong actions, and missing conditions. Claude’s remaining reviewed errors were fewer and concentrated in missing-condition and wrong-condition cases. This makes the Claude error pattern easier to characterize, even though it still shows that human review is necessary.</w:t>
      </w:r>
    </w:p>
    <w:p>
      <w:pPr>
        <w:pStyle w:val="Body Text"/>
      </w:pPr>
      <w:r>
        <w:t xml:space="preserve">The wrong-action cases in the ChatGPT baseline should be interpreted as boundary cases in the dataset design. They occurred in 6 formula rows, corresponding to 3 unique Food Ministry norms. These norms were closer to product-compliance or product-classification rules than to direct recommender-action norms. For example, a rule such as</w:t>
      </w:r>
      <w:r>
        <w:t xml:space="preserve"> </w:t>
      </w:r>
      <w:r>
        <w:t xml:space="preserve">“Certified lactose free products must comply with labeling rules”</w:t>
      </w:r>
      <w:r>
        <w:t xml:space="preserve"> </w:t>
      </w:r>
      <w:r>
        <w:t xml:space="preserve">concerns whether a product satisfies a labeling obligation, not whether the recommender should recommend that product to a user. Because the dataset schema and prompt emphasized recommendation actions, these rows were formalized over</w:t>
      </w:r>
      <w:r>
        <w:t xml:space="preserve"> </w:t>
      </w:r>
      <w:r>
        <w:rPr>
          <w:rStyle w:val="VerbatimChar"/>
        </w:rPr>
        <w:t xml:space="preserve">recommend(System,y,x)</w:t>
      </w:r>
      <w:r>
        <w:t xml:space="preserve">, which changed the deontic action. The rows were retained rather than silently removed because they reveal an important scope limitation: stakeholder policy statements do not always fit the assumed recommendation-action schema. A future version of the dataset should include a norm-scope field, such as</w:t>
      </w:r>
      <w:r>
        <w:t xml:space="preserve"> </w:t>
      </w:r>
      <w:r>
        <w:rPr>
          <w:rStyle w:val="VerbatimChar"/>
        </w:rPr>
        <w:t xml:space="preserve">recommender_action</w:t>
      </w:r>
      <w:r>
        <w:t xml:space="preserve">,</w:t>
      </w:r>
      <w:r>
        <w:t xml:space="preserve"> </w:t>
      </w:r>
      <w:r>
        <w:rPr>
          <w:rStyle w:val="VerbatimChar"/>
        </w:rPr>
        <w:t xml:space="preserve">product_compliance</w:t>
      </w:r>
      <w:r>
        <w:t xml:space="preserve">,</w:t>
      </w:r>
      <w:r>
        <w:t xml:space="preserve"> </w:t>
      </w:r>
      <w:r>
        <w:rPr>
          <w:rStyle w:val="VerbatimChar"/>
        </w:rPr>
        <w:t xml:space="preserve">classification</w:t>
      </w:r>
      <w:r>
        <w:t xml:space="preserve">, or</w:t>
      </w:r>
      <w:r>
        <w:t xml:space="preserve"> </w:t>
      </w:r>
      <w:r>
        <w:rPr>
          <w:rStyle w:val="VerbatimChar"/>
        </w:rPr>
        <w:t xml:space="preserve">background_rule</w:t>
      </w:r>
      <w:r>
        <w:t xml:space="preserve">, so that product-level obligations can either be formalized with their own action predicates, such as</w:t>
      </w:r>
      <w:r>
        <w:t xml:space="preserve"> </w:t>
      </w:r>
      <w:r>
        <w:rPr>
          <w:rStyle w:val="VerbatimChar"/>
        </w:rPr>
        <w:t xml:space="preserve">O(compliesWithLabeling(y))</w:t>
      </w:r>
      <w:r>
        <w:t xml:space="preserve">, or stored separately from recommender-action norms.</w:t>
      </w:r>
    </w:p>
    <w:p>
      <w:pPr>
        <w:pStyle w:val="Body Text"/>
      </w:pPr>
      <w:r>
        <w:t xml:space="preserve">A closer inspection of compound-condition cases shows why round-trip evaluation needs both automatic and human layers. Some earlier missing-condition cases originated in the round-trip layer rather than in the generated formula itself, because the backtranslator did not always express every branch of a disjunction. The revised backtranslation reduced this problem by making compound conditions explicit. At the same time, the</w:t>
      </w:r>
      <w:r>
        <w:t xml:space="preserve"> </w:t>
      </w:r>
      <w:r>
        <w:rPr>
          <w:rStyle w:val="VerbatimChar"/>
        </w:rPr>
        <w:t xml:space="preserve">USER030</w:t>
      </w:r>
      <w:r>
        <w:t xml:space="preserve"> </w:t>
      </w:r>
      <w:r>
        <w:t xml:space="preserve">ChatGPT rows show a different issue: the backtranslation can be faithful to the formula while exposing that the formula does not preserve the intended natural-language grouping. In that case, the formula is read as</w:t>
      </w:r>
      <w:r>
        <w:t xml:space="preserve"> </w:t>
      </w:r>
      <w:r>
        <w:rPr>
          <w:rStyle w:val="VerbatimChar"/>
        </w:rPr>
        <w:t xml:space="preserve">allergicTo(x,Nuts)</w:t>
      </w:r>
      <w:r>
        <w:t xml:space="preserve"> </w:t>
      </w:r>
      <w:r>
        <w:t xml:space="preserve">OR (</w:t>
      </w:r>
      <w:r>
        <w:rPr>
          <w:rStyle w:val="VerbatimChar"/>
        </w:rPr>
        <w:t xml:space="preserve">allergicTo(x,Shellfish)</w:t>
      </w:r>
      <w:r>
        <w:t xml:space="preserve"> </w:t>
      </w:r>
      <w:r>
        <w:t xml:space="preserve">AND</w:t>
      </w:r>
      <w:r>
        <w:t xml:space="preserve"> </w:t>
      </w:r>
      <w:r>
        <w:rPr>
          <w:rStyle w:val="VerbatimChar"/>
        </w:rPr>
        <w:t xml:space="preserve">allergenSafeMeal(y)</w:t>
      </w:r>
      <w:r>
        <w:t xml:space="preserve">), whereas the original norm appears to intend (</w:t>
      </w:r>
      <w:r>
        <w:rPr>
          <w:rStyle w:val="VerbatimChar"/>
        </w:rPr>
        <w:t xml:space="preserve">allergicTo(x,Nuts)</w:t>
      </w:r>
      <w:r>
        <w:t xml:space="preserve"> </w:t>
      </w:r>
      <w:r>
        <w:t xml:space="preserve">OR</w:t>
      </w:r>
      <w:r>
        <w:t xml:space="preserve"> </w:t>
      </w:r>
      <w:r>
        <w:rPr>
          <w:rStyle w:val="VerbatimChar"/>
        </w:rPr>
        <w:t xml:space="preserve">allergicTo(x,Shellfish)</w:t>
      </w:r>
      <w:r>
        <w:t xml:space="preserve">) AND</w:t>
      </w:r>
      <w:r>
        <w:t xml:space="preserve"> </w:t>
      </w:r>
      <w:r>
        <w:rPr>
          <w:rStyle w:val="VerbatimChar"/>
        </w:rPr>
        <w:t xml:space="preserve">allergenSafeMeal(y)</w:t>
      </w:r>
      <w:r>
        <w:t xml:space="preserve">. This finding motivates stronger handling of compound conditions, parentheses, and operator precedence in both generation prompts and evaluation scripts.</w:t>
      </w:r>
    </w:p>
    <w:p>
      <w:pPr>
        <w:pStyle w:val="Body Text"/>
      </w:pPr>
      <w:r>
        <w:t xml:space="preserve">Overall, these results suggest that Claude followed the grammar and formalisation conventions successfully and produced stronger final v2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t xml:space="preserve">The comparison also demonstrates the importance of storing metadata. Claude’s model, effort setting, generation dates, prompt sources, and lack of manual edits are documented. The baseline dataset records the ChatGPT model/version as ChatGPT 5.5 with medium effort. This makes both datasets easier to interpret and reproduce, while still making clear that exact byte-for-byte reproduction of LLM outputs is not guaranteed.</w:t>
      </w:r>
    </w:p>
    <w:p>
      <w:pPr>
        <w:pStyle w:val="Body 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t xml:space="preserve">The implication-versus-dyadic comparison gave the following aggregate result:</w:t>
      </w:r>
    </w:p>
    <w:p>
      <w:pPr>
        <w:pStyle w:val="Body Text"/>
      </w:pPr>
      <w:r>
        <w:t xml:space="preserve">Table 4.8. Implication-versus-dyadic comparison.</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 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166"/>
    <w:bookmarkStart w:id="171" w:name="discussion"/>
    <w:p>
      <w:pPr>
        <w:pStyle w:val="Heading 2"/>
      </w:pPr>
      <w:r>
        <w:t xml:space="preserve">4.5 Discussion</w:t>
      </w:r>
    </w:p>
    <w:bookmarkStart w:id="167" w:name="X32e1db4aa9cb3b1e27de8209692eb0234155017"/>
    <w:p>
      <w:pPr>
        <w:pStyle w:val="Heading 3"/>
      </w:pPr>
      <w:r>
        <w:t xml:space="preserve">4.5.1 Implication-Based and Dyadic Formulations</w:t>
      </w:r>
    </w:p>
    <w:p>
      <w:pPr>
        <w:pStyle w:val="First 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167"/>
    <w:bookmarkStart w:id="168" w:name="product-categories-as-predicates"/>
    <w:p>
      <w:pPr>
        <w:pStyle w:val="Heading 3"/>
      </w:pPr>
      <w:r>
        <w:t xml:space="preserve">4.5.2 Product Categories as Predicates</w:t>
      </w:r>
    </w:p>
    <w:p>
      <w:pPr>
        <w:pStyle w:val="First 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168"/>
    <w:bookmarkStart w:id="169" w:name="constitutive-rules-and-redundancy"/>
    <w:p>
      <w:pPr>
        <w:pStyle w:val="Heading 3"/>
      </w:pPr>
      <w:r>
        <w:t xml:space="preserve">4.5.3 Constitutive Rules and Redundancy</w:t>
      </w:r>
    </w:p>
    <w:p>
      <w:pPr>
        <w:pStyle w:val="First 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169"/>
    <w:bookmarkStart w:id="170" w:name="scope-and-interpretation"/>
    <w:p>
      <w:pPr>
        <w:pStyle w:val="Heading 3"/>
      </w:pPr>
      <w:r>
        <w:t xml:space="preserve">4.5.4 Scope and Interpretation</w:t>
      </w:r>
    </w:p>
    <w:p>
      <w:pPr>
        <w:pStyle w:val="First Paragraph"/>
      </w:pPr>
      <w:r>
        <w:t xml:space="preserve">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t xml:space="preserve">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t xml:space="preserve">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t xml:space="preserve">The current pipeline validates syntax, structure, and controlled backtranslation behavior, but it does not provide a full model-theoretic interpretation of the formulas. Predicates such as</w:t>
      </w:r>
      <w:r>
        <w:t xml:space="preserve"> </w:t>
      </w:r>
      <w:r>
        <w:rPr>
          <w:rStyle w:val="VerbatimChar"/>
        </w:rPr>
        <w:t xml:space="preserve">glutenFreeMeal(y)</w:t>
      </w:r>
      <w:r>
        <w:t xml:space="preserve"> </w:t>
      </w:r>
      <w:r>
        <w:t xml:space="preserve">or</w:t>
      </w:r>
      <w:r>
        <w:t xml:space="preserve"> </w:t>
      </w:r>
      <w:r>
        <w:rPr>
          <w:rStyle w:val="VerbatimChar"/>
        </w:rPr>
        <w:t xml:space="preserve">certifiedHalal(y)</w:t>
      </w:r>
      <w:r>
        <w:t xml:space="preserve"> </w:t>
      </w:r>
      <w:r>
        <w:t xml:space="preserve">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t xml:space="preserve">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bookmarkEnd w:id="170"/>
    <w:bookmarkEnd w:id="171"/>
    <w:bookmarkEnd w:id="172"/>
    <w:bookmarkStart w:id="176" w:name="chapter-5-conclusion-and-future-work"/>
    <w:p>
      <w:pPr>
        <w:pStyle w:val="Heading1"/>
      </w:pPr>
      <w:r>
        <w:t xml:space="preserve">Chapter 5: Conclusion and Future Work</w:t>
      </w:r>
    </w:p>
    <w:bookmarkStart w:id="173" w:name="contributions-1"/>
    <w:p>
      <w:pPr>
        <w:pStyle w:val="Heading 2"/>
      </w:pPr>
      <w:r>
        <w:t xml:space="preserve">5.1 Contributions</w:t>
      </w:r>
    </w:p>
    <w:p>
      <w:pPr>
        <w:pStyle w:val="First 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t xml:space="preserve">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severe mismatches in the reviewed sample, 0 out of 68 compared with 4 out of 112. The ChatGPT review also showed two automatic score-2 rows that human review marked as partial because the formula preserved the wrong grouping of a compound condition. The result is therefore not that one automatic metric settles dataset quality, but that a layered evaluation can reveal different kinds of strengths and weaknesses.</w:t>
      </w:r>
    </w:p>
    <w:bookmarkEnd w:id="173"/>
    <w:bookmarkStart w:id="174" w:name="limitations"/>
    <w:p>
      <w:pPr>
        <w:pStyle w:val="Heading 2"/>
      </w:pPr>
      <w:r>
        <w:t xml:space="preserve">5.2 Limitations</w:t>
      </w:r>
    </w:p>
    <w:p>
      <w:pPr>
        <w:pStyle w:val="First Paragraph"/>
      </w:pPr>
      <w:r>
        <w:t xml:space="preserve">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pStyle w:val="Body Text"/>
      </w:pPr>
      <w:r>
        <w:t xml:space="preserve">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pStyle w:val="Body Text"/>
      </w:pPr>
      <w:r>
        <w:t xml:space="preserve">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pStyle w:val="Body Text"/>
      </w:pPr>
      <w:r>
        <w:t xml:space="preserve">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bookmarkEnd w:id="174"/>
    <w:bookmarkStart w:id="175" w:name="future-work"/>
    <w:p>
      <w:pPr>
        <w:pStyle w:val="Heading 2"/>
      </w:pPr>
      <w:r>
        <w:t xml:space="preserve">5.3 Future Work</w:t>
      </w:r>
    </w:p>
    <w:p>
      <w:pPr>
        <w:pStyle w:val="First 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t xml:space="preserve">A second direction is to extend the human evaluation of round-trip semantic preservation. This thesis already includes human review of selected round-trip rows, including automatically flagged low-score cases and sampled high-score cases. Future work could increase the number of reviewed rows, involve more than one reviewer, and measure inter-annotator agreement. This would make the conclusions about semantic preservation stronger and would show more clearly where the automatic scoring method is reliable and where it fails.</w:t>
      </w:r>
    </w:p>
    <w:p>
      <w:pPr>
        <w:pStyle w:val="Body 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t xml:space="preserve">Another extension is to test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t xml:space="preserve">A further future direction is to study prompt variants and correction workflows more systematically. The current prompts already produced parser-valid datasets for the reported experiments. Future work could test whether alternative prompts improve predicate consistency, stakeholder coverage, or semantic preservation. It could also evaluate a logged repair workflow in which invalid or low-scoring formulas are sent back to an LLM with parser or round-trip feedback. This would be an extension of the current pipeline, and the repair steps would need to be recorded so that improvements remain reproducible rather than hidden manual edits.</w:t>
      </w:r>
    </w:p>
    <w:p>
      <w:pPr>
        <w:pStyle w:val="Body 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175"/>
    <w:bookmarkEnd w:id="176"/>
    <w:bookmarkStart w:id="177" w:name="bibliography"/>
    <w:p>
      <w:pPr>
        <w:pStyle w:val="Heading1"/>
      </w:pPr>
      <w:r>
        <w:t xml:space="preserve">Bibliography</w:t>
      </w:r>
    </w:p>
    <w:p>
      <w:pPr>
        <w:pStyle w:val="First Paragraph"/>
      </w:pPr>
      <w:r>
        <w:t xml:space="preserve">[0] DJ4ME,</w:t>
      </w:r>
      <w:r>
        <w:t xml:space="preserve"> </w:t>
      </w:r>
      <w:r>
        <w:t xml:space="preserve">“A DJ for Machine Ethics: the Dialogue Jiminy,”</w:t>
      </w:r>
      <w:r>
        <w:t xml:space="preserve"> </w:t>
      </w:r>
      <w:r>
        <w:t xml:space="preserve">University of Luxembourg. [Online]. Available: https://icr.uni.lu/dj4me/index.html</w:t>
      </w:r>
    </w:p>
    <w:p>
      <w:pPr>
        <w:pStyle w:val="Body Text"/>
      </w:pPr>
      <w:r>
        <w:t xml:space="preserve">[1] Y. Yang, S. Xiong, A. Payani, E. Shareghi, and F. Fekri,</w:t>
      </w:r>
      <w:r>
        <w:t xml:space="preserve"> </w:t>
      </w:r>
      <w:r>
        <w:t xml:space="preserve">“Harnessing the Power of Large Language Models for Natural Language to First-Order Logic Translation,”</w:t>
      </w:r>
      <w:r>
        <w:t xml:space="preserve"> </w:t>
      </w:r>
      <w:r>
        <w:t xml:space="preserve">in Proceedings of the 62nd Annual Meeting of the Association for Computational Linguistics (ACL), 2024, pp. 6942-6959. doi: 10.18653/v1/2024.acl-long.375.</w:t>
      </w:r>
    </w:p>
    <w:p>
      <w:pPr>
        <w:pStyle w:val="Body Text"/>
      </w:pPr>
      <w:r>
        <w:t xml:space="preserve">[2] S. Han et al.,</w:t>
      </w:r>
      <w:r>
        <w:t xml:space="preserve"> </w:t>
      </w:r>
      <w:r>
        <w:t xml:space="preserve">“FOLIO: Natural Language Reasoning with First-Order Logic,”</w:t>
      </w:r>
      <w:r>
        <w:t xml:space="preserve"> </w:t>
      </w:r>
      <w:r>
        <w:t xml:space="preserve">in Proceedings of the 2024 Conference on Empirical Methods in Natural Language Processing (EMNLP), 2024, pp. 22017-22031. doi: 10.18653/v1/2024.emnlp-main.1229.</w:t>
      </w:r>
    </w:p>
    <w:p>
      <w:pPr>
        <w:pStyle w:val="Body Text"/>
      </w:pPr>
      <w:r>
        <w:t xml:space="preserve">[3] L. Pan, A. Albalak, X. Wang, and W. Y. Wang,</w:t>
      </w:r>
      <w:r>
        <w:t xml:space="preserve"> </w:t>
      </w:r>
      <w:r>
        <w:t xml:space="preserve">“Logic-LM: Empowering Large Language Models with Symbolic Solvers for Faithful Logical Reasoning,”</w:t>
      </w:r>
      <w:r>
        <w:t xml:space="preserve"> </w:t>
      </w:r>
      <w:r>
        <w:t xml:space="preserve">in Findings of the Association for Computational Linguistics: EMNLP 2023, 2023, pp. 3806-3824.</w:t>
      </w:r>
    </w:p>
    <w:p>
      <w:pPr>
        <w:pStyle w:val="Body Text"/>
      </w:pPr>
      <w:r>
        <w:t xml:space="preserve">[4] Y. Zheng,</w:t>
      </w:r>
      <w:r>
        <w:t xml:space="preserve"> </w:t>
      </w:r>
      <w:r>
        <w:t xml:space="preserve">“Multi-Stakeholder Recommendation: Applications and Challenges,”</w:t>
      </w:r>
      <w:r>
        <w:t xml:space="preserve"> </w:t>
      </w:r>
      <w:r>
        <w:t xml:space="preserve">CoRR, abs/1707.08913, 2017.</w:t>
      </w:r>
    </w:p>
    <w:p>
      <w:pPr>
        <w:pStyle w:val="Body Text"/>
      </w:pPr>
      <w:r>
        <w:t xml:space="preserve">[5] H. Abdollahpouri and R. Burke,</w:t>
      </w:r>
      <w:r>
        <w:t xml:space="preserve"> </w:t>
      </w:r>
      <w:r>
        <w:t xml:space="preserve">“Multi-stakeholder Recommendation and its Connection to Multi-sided Fairness,”</w:t>
      </w:r>
      <w:r>
        <w:t xml:space="preserve"> </w:t>
      </w:r>
      <w:r>
        <w:t xml:space="preserve">in RMSE@RecSys, 2019.</w:t>
      </w:r>
    </w:p>
    <w:p>
      <w:pPr>
        <w:pStyle w:val="Body Text"/>
      </w:pPr>
      <w:r>
        <w:t xml:space="preserve">[6] T. Olson, R. Salas-Damian, and K. D. Forbus,</w:t>
      </w:r>
      <w:r>
        <w:t xml:space="preserve"> </w:t>
      </w:r>
      <w:r>
        <w:t xml:space="preserve">“A Defeasible Deontic Calculus for Resolving Norm Conflicts,”</w:t>
      </w:r>
      <w:r>
        <w:t xml:space="preserve"> </w:t>
      </w:r>
      <w:r>
        <w:t xml:space="preserve">CoRR, abs/2407.04869, 2024. doi: 10.48550/arXiv.2407.04869.</w:t>
      </w:r>
    </w:p>
    <w:p>
      <w:pPr>
        <w:pStyle w:val="Body Text"/>
      </w:pPr>
      <w:r>
        <w:t xml:space="preserve">[7] P. M. Dung,</w:t>
      </w:r>
      <w:r>
        <w:t xml:space="preserve"> </w:t>
      </w:r>
      <w:r>
        <w:t xml:space="preserve">“On the Acceptability of Arguments and its Fundamental Role in Nonmonotonic Reasoning, Logic Programming and n-Person Games,”</w:t>
      </w:r>
      <w:r>
        <w:t xml:space="preserve"> </w:t>
      </w:r>
      <w:r>
        <w:t xml:space="preserve">Artificial Intelligence, vol. 77, no. 2, pp. 321-357, 1995. doi: 10.1016/0004-3702(94)00041-X.</w:t>
      </w:r>
    </w:p>
    <w:p>
      <w:pPr>
        <w:pStyle w:val="Body Text"/>
      </w:pPr>
      <w:r>
        <w:t xml:space="preserve">[8] Y. Chen, A. Subburathinam, C.-H. Chen, and M. J. Zaki,</w:t>
      </w:r>
      <w:r>
        <w:t xml:space="preserve"> </w:t>
      </w:r>
      <w:r>
        <w:t xml:space="preserve">“Personalized Food Recommendation as Constrained Question Answering over a Large-scale Food Knowledge Graph,”</w:t>
      </w:r>
      <w:r>
        <w:t xml:space="preserve"> </w:t>
      </w:r>
      <w:r>
        <w:t xml:space="preserve">in Proceedings of WSDM ’21, 2021, pp. 544-552. doi: 10.1145/3437963.3441816.</w:t>
      </w:r>
    </w:p>
    <w:p>
      <w:pPr>
        <w:pStyle w:val="Body Text"/>
      </w:pPr>
      <w:r>
        <w:t xml:space="preserve">[9] A. Kamath and R. Das,</w:t>
      </w:r>
      <w:r>
        <w:t xml:space="preserve"> </w:t>
      </w:r>
      <w:r>
        <w:t xml:space="preserve">“A Survey on Semantic Parsing,”</w:t>
      </w:r>
      <w:r>
        <w:t xml:space="preserve"> </w:t>
      </w:r>
      <w:r>
        <w:t xml:space="preserve">in Proceedings of the 7th Workshop on Automated Knowledge Base Construction (AKBC), 2019.</w:t>
      </w:r>
    </w:p>
    <w:p>
      <w:pPr>
        <w:pStyle w:val="Body Text"/>
      </w:pPr>
      <w:r>
        <w:t xml:space="preserve">[10] H. Ryu, G. Kim, H. S. Lee, and E. Yang,</w:t>
      </w:r>
      <w:r>
        <w:t xml:space="preserve"> </w:t>
      </w:r>
      <w:r>
        <w:t xml:space="preserve">“Divide and Translate: Compositional First-Order Logic Translation and Verification for Complex Logical Reasoning,”</w:t>
      </w:r>
      <w:r>
        <w:t xml:space="preserve"> </w:t>
      </w:r>
      <w:r>
        <w:t xml:space="preserve">arXiv:2410.08047, 2024.</w:t>
      </w:r>
    </w:p>
    <w:p>
      <w:pPr>
        <w:pStyle w:val="Body Text"/>
      </w:pPr>
      <w:r>
        <w:t xml:space="preserve">[11] G. Boella, G. Pigozzi, and L. van der Torre,</w:t>
      </w:r>
      <w:r>
        <w:t xml:space="preserve"> </w:t>
      </w:r>
      <w:r>
        <w:t xml:space="preserve">“Normative Systems in Computer Science - Ten Guidelines for Normative Multiagent Systems,”</w:t>
      </w:r>
      <w:r>
        <w:t xml:space="preserve"> </w:t>
      </w:r>
      <w:r>
        <w:t xml:space="preserve">in Normative Multi-Agent Systems, Dagstuhl Seminar Proceedings, vol. 9121, Schloss Dagstuhl, 2009, pp. 1-21. doi: 10.4230/DagSemProc.09121.2.</w:t>
      </w:r>
    </w:p>
    <w:p>
      <w:pPr>
        <w:pStyle w:val="Body Text"/>
      </w:pPr>
      <w:r>
        <w:t xml:space="preserve">[12] M. A. Mahmoud, M. S. Ahmad, M. Z. M. Yusoff, and A. Mustapha,</w:t>
      </w:r>
      <w:r>
        <w:t xml:space="preserve"> </w:t>
      </w:r>
      <w:r>
        <w:t xml:space="preserve">“A Review of Norms and Normative Multiagent Systems,”</w:t>
      </w:r>
      <w:r>
        <w:t xml:space="preserve"> </w:t>
      </w:r>
      <w:r>
        <w:t xml:space="preserve">The Scientific World Journal, 2014, Art. no. 684587. doi: 10.1155/2014/684587.</w:t>
      </w:r>
    </w:p>
    <w:p>
      <w:pPr>
        <w:pStyle w:val="Body Text"/>
      </w:pPr>
      <w:r>
        <w:t xml:space="preserve">[13] J. Santos, J. Zahn, E. Silvestre, V. T. Silva, and W. W. M. P. D. Vasconcelos,</w:t>
      </w:r>
      <w:r>
        <w:t xml:space="preserve"> </w:t>
      </w:r>
      <w:r>
        <w:t xml:space="preserve">“Detection and Resolution of Normative Conflicts in Multi-Agent Systems: A Literature Survey,”</w:t>
      </w:r>
      <w:r>
        <w:t xml:space="preserve"> </w:t>
      </w:r>
      <w:r>
        <w:t xml:space="preserve">Autonomous Agents and Multi-Agent Systems, vol. 31, no. 6, pp. 1236-1282, 2017. doi: 10.1007/s10458-017-9362-z.</w:t>
      </w:r>
    </w:p>
    <w:p>
      <w:pPr>
        <w:pStyle w:val="Body Text"/>
      </w:pPr>
      <w:r>
        <w:t xml:space="preserve">[14] G. Pigozzi and L. W. N. van der Torre,</w:t>
      </w:r>
      <w:r>
        <w:t xml:space="preserve"> </w:t>
      </w:r>
      <w:r>
        <w:t xml:space="preserve">“Multiagent Deontic Logic and its Challenges from a Normative Systems Perspective,”</w:t>
      </w:r>
      <w:r>
        <w:t xml:space="preserve"> </w:t>
      </w:r>
      <w:r>
        <w:t xml:space="preserve">Journal of Logics and Their Applications, vol. 4, no. 9, pp. 2929-2993, 2017.</w:t>
      </w:r>
    </w:p>
    <w:p>
      <w:pPr>
        <w:pStyle w:val="Body Text"/>
      </w:pPr>
      <w:r>
        <w:t xml:space="preserve">[15] A. Felfernig and R. D. Burke,</w:t>
      </w:r>
      <w:r>
        <w:t xml:space="preserve"> </w:t>
      </w:r>
      <w:r>
        <w:t xml:space="preserve">“Constraint-based Recommender Systems: Technologies and Research Issues,”</w:t>
      </w:r>
      <w:r>
        <w:t xml:space="preserve"> </w:t>
      </w:r>
      <w:r>
        <w:t xml:space="preserve">in Proceedings of the 10th International Conference on Electronic Commerce (ICEC), 2008, pp. 3:1-3:10. doi: 10.1145/1409540.1409544.</w:t>
      </w:r>
    </w:p>
    <w:p>
      <w:pPr>
        <w:pStyle w:val="Body Text"/>
      </w:pPr>
      <w:r>
        <w:t xml:space="preserve">[16] J. N. Bondevik, K. E. Bennin, Ö. Babur, and C. Ersch,</w:t>
      </w:r>
      <w:r>
        <w:t xml:space="preserve"> </w:t>
      </w:r>
      <w:r>
        <w:t xml:space="preserve">“A Systematic Review on Food Recommender Systems,”</w:t>
      </w:r>
      <w:r>
        <w:t xml:space="preserve"> </w:t>
      </w:r>
      <w:r>
        <w:t xml:space="preserve">Expert Systems with Applications, vol. 238, Part E, Art. no. 122166, 2024. doi: 10.1016/j.eswa.2023.122166.</w:t>
      </w:r>
    </w:p>
    <w:p>
      <w:pPr>
        <w:pStyle w:val="Body Text"/>
      </w:pPr>
      <w:r>
        <w:t xml:space="preserve">[17] T. N. T. Tran, M. Atas, A. Felfernig, and M. Stettinger,</w:t>
      </w:r>
      <w:r>
        <w:t xml:space="preserve"> </w:t>
      </w:r>
      <w:r>
        <w:t xml:space="preserve">“An Overview of Recommender Systems in the Healthy Food Domain,”</w:t>
      </w:r>
      <w:r>
        <w:t xml:space="preserve"> </w:t>
      </w:r>
      <w:r>
        <w:t xml:space="preserve">Journal of Intelligent Information Systems, vol. 50, pp. 501-526, 2018. doi: 10.1007/s10844-017-0469-0.</w:t>
      </w:r>
    </w:p>
    <w:p>
      <w:pPr>
        <w:pStyle w:val="Body Text"/>
      </w:pPr>
      <w:r>
        <w:t xml:space="preserve">[18] R. De Croon, L. Van Houdt, N. N. Htun, G. Štiglic, V. Vanden Abeele, and K. Verbert,</w:t>
      </w:r>
      <w:r>
        <w:t xml:space="preserve"> </w:t>
      </w:r>
      <w:r>
        <w:t xml:space="preserve">“Health Recommender Systems: Systematic Review,”</w:t>
      </w:r>
      <w:r>
        <w:t xml:space="preserve"> </w:t>
      </w:r>
      <w:r>
        <w:t xml:space="preserve">Journal of Medical Internet Research, vol. 23, no. 6, Art. no. e18035, 2021. doi: 10.2196/18035.</w:t>
      </w:r>
    </w:p>
    <w:bookmarkEnd w:id="177"/>
    <w:bookmarkStart w:id="178" w:name="Xc87462390d6b42a4127554b5503cfd17d190518"/>
    <w:p>
      <w:pPr>
        <w:pStyle w:val="Heading1"/>
      </w:pPr>
      <w:r>
        <w:t xml:space="preserve">Appendix A: Repository and Reproducibility</w:t>
      </w:r>
    </w:p>
    <w:p>
      <w:pPr>
        <w:pStyle w:val="First Paragraph"/>
      </w:pPr>
      <w:r>
        <w:t xml:space="preserve">The current repository is llm-normative-recommender. Older folders have been archived under archive/previous_structure. The active pipeline folders are data, prompts, grammar, scripts, outputs, and docs.</w:t>
      </w:r>
    </w:p>
    <w:p>
      <w:pPr>
        <w:pStyle w:val="Source Code"/>
      </w:pPr>
      <w:r>
        <w:rPr>
          <w:rStyle w:val="VerbatimChar"/>
        </w:rPr>
        <w:t xml:space="preserve">python scripts/generate_revised_user_dataset.py</w:t>
      </w:r>
      <w:r>
        <w:br/>
      </w:r>
      <w:r>
        <w:rPr>
          <w:rStyle w:val="VerbatimChar"/>
        </w:rPr>
        <w:t xml:space="preserve">python scripts/generate_revised_food_ministry_dataset.py</w:t>
      </w:r>
      <w:r>
        <w:br/>
      </w:r>
      <w:r>
        <w:rPr>
          <w:rStyle w:val="VerbatimChar"/>
        </w:rPr>
        <w:t xml:space="preserve">python scripts/generate_revised_food_industry_dataset.py</w:t>
      </w:r>
      <w:r>
        <w:br/>
      </w:r>
      <w:r>
        <w:rPr>
          <w:rStyle w:val="VerbatimChar"/>
        </w:rPr>
        <w:t xml:space="preserve">python scripts/generate_constitutive_rules.py</w:t>
      </w:r>
      <w:r>
        <w:br/>
      </w:r>
      <w:r>
        <w:rPr>
          <w:rStyle w:val="VerbatimChar"/>
        </w:rPr>
        <w:t xml:space="preserve">python scripts/validate_revised_datasets.py</w:t>
      </w:r>
      <w:r>
        <w:br/>
      </w:r>
      <w:r>
        <w:rPr>
          <w:rStyle w:val="VerbatimChar"/>
        </w:rPr>
        <w:t xml:space="preserve">python scripts/generate_asts.py</w:t>
      </w:r>
      <w:r>
        <w:br/>
      </w:r>
      <w:r>
        <w:rPr>
          <w:rStyle w:val="VerbatimChar"/>
        </w:rPr>
        <w:t xml:space="preserve">python scripts/backtranslate_roundtrip.py</w:t>
      </w:r>
      <w:r>
        <w:br/>
      </w:r>
      <w:r>
        <w:rPr>
          <w:rStyle w:val="VerbatimChar"/>
        </w:rPr>
        <w:t xml:space="preserve">python scripts/evaluate_roundtrip.py</w:t>
      </w:r>
    </w:p>
    <w:bookmarkEnd w:id="178"/>
    <w:bookmarkStart w:id="179" w:name="appendix-b-example-dataset-record"/>
    <w:p>
      <w:pPr>
        <w:pStyle w:val="Heading1"/>
      </w:pPr>
      <w:r>
        <w:t xml:space="preserve">Appendix B: Example Dataset Record</w:t>
      </w:r>
    </w:p>
    <w:p>
      <w:pPr>
        <w:pStyle w:val="First Paragraph"/>
      </w:pPr>
      <w:r>
        <w:t xml:space="preserve">Table B.1.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∀x.∀y.F(recommend(System,y,x)|child(x)∧energyDrink(y))</w:t>
            </w:r>
          </w:p>
        </w:tc>
      </w:tr>
      <w:tr>
        <w:tc>
          <w:tcPr/>
          <w:p>
            <w:pPr>
              <w:pStyle w:val="Compact"/>
            </w:pPr>
            <w:r>
              <w:t xml:space="preserve">norm_type</w:t>
            </w:r>
          </w:p>
        </w:tc>
        <w:tc>
          <w:tcPr/>
          <w:p>
            <w:pPr>
              <w:pStyle w:val="Compact"/>
            </w:pPr>
            <w:r>
              <w:t xml:space="preserve">prohibition</w:t>
            </w:r>
          </w:p>
        </w:tc>
      </w:tr>
    </w:tbl>
    <w:bookmarkEnd w:id="179"/>
    <w:bookmarkStart w:id="180" w:name="appendix-c-human-evaluation-form"/>
    <w:p>
      <w:pPr>
        <w:pStyle w:val="Heading1"/>
      </w:pPr>
      <w:r>
        <w:t xml:space="preserve">Appendix C: Human Evaluation Form</w:t>
      </w:r>
    </w:p>
    <w:p>
      <w:pPr>
        <w:pStyle w:val="First Paragraph"/>
      </w:pPr>
      <w:r>
        <w:t xml:space="preserve">The round-trip evaluation file contains columns for human review. Reviewers should compare the original natural-language norm with the backtranslated natural-language statement and assign a score.</w:t>
      </w:r>
    </w:p>
    <w:p>
      <w:pPr>
        <w:pStyle w:val="Body Text"/>
      </w:pPr>
      <w:r>
        <w:t xml:space="preserve">Table C.1. Human evaluation scoring rubric.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p>
      <w:pPr>
        <w:pStyle w:val="Body Text"/>
      </w:pPr>
      <w:r>
        <w:t xml:space="preserve">For the human error type,</w:t>
      </w:r>
      <w:r>
        <w:t xml:space="preserve"> </w:t>
      </w:r>
      <w:r>
        <w:rPr>
          <w:rStyle w:val="VerbatimChar"/>
        </w:rPr>
        <w:t xml:space="preserve">faithful</w:t>
      </w:r>
      <w:r>
        <w:t xml:space="preserve"> </w:t>
      </w:r>
      <w:r>
        <w:t xml:space="preserve">or</w:t>
      </w:r>
      <w:r>
        <w:t xml:space="preserve"> </w:t>
      </w:r>
      <w:r>
        <w:rPr>
          <w:rStyle w:val="VerbatimChar"/>
        </w:rPr>
        <w:t xml:space="preserve">none</w:t>
      </w:r>
      <w:r>
        <w:t xml:space="preserve"> </w:t>
      </w:r>
      <w:r>
        <w:t xml:space="preserve">means that no substantive semantic error was identified.</w:t>
      </w:r>
      <w:r>
        <w:t xml:space="preserve"> </w:t>
      </w:r>
      <w:r>
        <w:rPr>
          <w:rStyle w:val="VerbatimChar"/>
        </w:rPr>
        <w:t xml:space="preserve">Wrong condition</w:t>
      </w:r>
      <w:r>
        <w:t xml:space="preserve"> </w:t>
      </w:r>
      <w:r>
        <w:t xml:space="preserve">means the user group, product property, threshold, exception, triggering condition, or logical grouping of a compound condition was changed.</w:t>
      </w:r>
      <w:r>
        <w:t xml:space="preserve"> </w:t>
      </w:r>
      <w:r>
        <w:rPr>
          <w:rStyle w:val="VerbatimChar"/>
        </w:rPr>
        <w:t xml:space="preserve">Missing condition</w:t>
      </w:r>
      <w:r>
        <w:t xml:space="preserve"> </w:t>
      </w:r>
      <w:r>
        <w:t xml:space="preserve">means an important condition from the original norm was omitted.</w:t>
      </w:r>
      <w:r>
        <w:t xml:space="preserve"> </w:t>
      </w:r>
      <w:r>
        <w:rPr>
          <w:rStyle w:val="VerbatimChar"/>
        </w:rPr>
        <w:t xml:space="preserve">Wrong action</w:t>
      </w:r>
      <w:r>
        <w:t xml:space="preserve"> </w:t>
      </w:r>
      <w:r>
        <w:t xml:space="preserve">means the action, modality target, or recommendation relation was changed.</w:t>
      </w:r>
      <w:r>
        <w:t xml:space="preserve"> </w:t>
      </w:r>
      <w:r>
        <w:rPr>
          <w:rStyle w:val="VerbatimChar"/>
        </w:rPr>
        <w:t xml:space="preserve">Lost meaning</w:t>
      </w:r>
      <w:r>
        <w:t xml:space="preserve"> </w:t>
      </w:r>
      <w:r>
        <w:t xml:space="preserve">means the backtranslation no longer communicates the practical norm.</w:t>
      </w:r>
      <w:r>
        <w:t xml:space="preserve"> </w:t>
      </w:r>
      <w:r>
        <w:rPr>
          <w:rStyle w:val="VerbatimChar"/>
        </w:rPr>
        <w:t xml:space="preserve">Awkward but equivalent</w:t>
      </w:r>
      <w:r>
        <w:t xml:space="preserve"> </w:t>
      </w:r>
      <w:r>
        <w:t xml:space="preserve">means the wording is unnatural but the intended norm is still preserved.</w:t>
      </w:r>
    </w:p>
    <w:bookmarkEnd w:id="180"/>
    <w:sectPr>
      <w:headerReference r:id="rId5" w:type="default"/>
      <w:headerReference r:id="rId6" w:type="first"/>
      <w:footerReference r:id="rId7" w:type="default"/>
      <w:footerReference r:id="rId8" w:type="first"/>
      <w:pgSz w:h="14240" w:orient="portrait" w:w="12240"/>
      <w:pgMar w:bottom="1440" w:footer="720" w:header="720" w:left="1440" w:right="1440" w:top="1440"/>
      <w:titlePg w:val="1"/>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hanging="360"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hanging="360"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hanging="360"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3"/>
  </w:num>
  <w:num w:numId="4">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autoHyphenation w:val="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framePr w:anchorLock="0" w:h="0" w:hRule="exact" w:hSpace="0" w:vAnchor="margin" w:vSpace="0" w:w="0" w:xAlign="left" w:y="0"/>
        <w:widowControl w:val="1"/>
        <w:numPr>
          <w:ilvl w:val="0"/>
          <w:numId w:val="0"/>
        </w:numPr>
        <w:suppressLineNumbers w:val="0"/>
        <w:pBdr>
          <w:top w:val="nil"/>
          <w:left w:val="nil"/>
          <w:bottom w:val="nil"/>
          <w:right w:val="nil"/>
          <w:between w:val="nil"/>
          <w:bar w:val="nil"/>
        </w:pBdr>
        <w:shd w:color="auto" w:fill="auto" w:val="clear"/>
        <w:suppressAutoHyphens w:val="0"/>
        <w:spacing w:after="0" w:afterAutospacing="0" w:before="0" w:beforeAutospacing="0" w:line="240" w:lineRule="auto"/>
        <w:ind w:firstLine="0" w:left="0" w:right="0"/>
        <w:jc w:val="left"/>
        <w:outlineLvl w:val="9"/>
      </w:pPr>
    </w:pPrDefault>
  </w:docDefaults>
  <w:style w:default="1" w:styleId="Normal" w:type="paragraph">
    <w:name w:val="Normal"/>
    <w:next w:val="Normal"/>
    <w:pPr/>
    <w:rPr>
      <w:sz w:val="24"/>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suppressAutoHyphens w:val="0"/>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da-DK"/>
      <w14:textOutline>
        <w14:noFill/>
      </w14:textOutline>
      <w14:textFill>
        <w14:solidFill>
          <w14:srgbClr w14:val="000000"/>
        </w14:solidFill>
      </w14:textFill>
    </w:rPr>
  </w:style>
  <w:style w:styleId="Captioned Figure" w:type="paragraph">
    <w:name w:val="Captioned Figure"/>
    <w:next w:val="Captioned Figure"/>
    <w:pPr>
      <w:keepNext w:val="1"/>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Times New Roman" w:eastAsia="Times New Roman"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Image Caption" w:type="paragraph">
    <w:name w:val="Image Caption"/>
    <w:next w:val="Image Caption"/>
    <w:pPr>
      <w:keepNext w:val="0"/>
      <w:keepLines w:val="0"/>
      <w:pageBreakBefore w:val="0"/>
      <w:widowControl w:val="1"/>
      <w:shd w:color="auto" w:fill="auto" w:val="clear"/>
      <w:suppressAutoHyphens w:val="0"/>
      <w:bidi w:val="0"/>
      <w:spacing w:after="120" w:before="0" w:line="240" w:lineRule="auto"/>
      <w:ind w:firstLine="0" w:left="0" w:right="0"/>
      <w:jc w:val="left"/>
      <w:outlineLvl w:val="9"/>
    </w:pPr>
    <w:rPr>
      <w:rFonts w:ascii="Times New Roman" w:cs="Times New Roman" w:eastAsia="Times New Roman" w:hAnsi="Times New Roman"/>
      <w:b w:val="0"/>
      <w:bCs w:val="0"/>
      <w:i w:val="1"/>
      <w:iCs w:val="1"/>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Body Text" w:type="paragraph">
    <w:name w:val="Body Text"/>
    <w:next w:val="Body Text"/>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w:type="paragraph">
    <w:name w:val="Heading"/>
    <w:next w:val="Body Text"/>
    <w:pPr>
      <w:keepNext w:val="1"/>
      <w:keepLines w:val="1"/>
      <w:pageBreakBefore w:val="0"/>
      <w:widowControl w:val="1"/>
      <w:shd w:color="auto" w:fill="auto" w:val="clear"/>
      <w:suppressAutoHyphens w:val="0"/>
      <w:bidi w:val="0"/>
      <w:spacing w:after="80" w:before="360" w:line="240" w:lineRule="auto"/>
      <w:ind w:firstLine="0" w:left="0" w:right="0"/>
      <w:jc w:val="left"/>
      <w:outlineLvl w:val="0"/>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40"/>
      <w:szCs w:val="40"/>
      <w:u w:color="0f4761" w:val="none"/>
      <w:shd w:color="auto" w:fill="auto" w:val="nil"/>
      <w:vertAlign w:val="baseline"/>
      <w14:textOutline>
        <w14:noFill/>
      </w14:textOutline>
      <w14:textFill>
        <w14:solidFill>
          <w14:srgbClr w14:val="0F4761"/>
        </w14:solidFill>
      </w14:textFill>
    </w:rPr>
  </w:style>
  <w:style w:styleId="First Paragraph" w:type="paragraph">
    <w:name w:val="First Paragraph"/>
    <w:next w:val="Body Text"/>
    <w:pPr>
      <w:keepNext w:val="0"/>
      <w:keepLines w:val="0"/>
      <w:pageBreakBefore w:val="0"/>
      <w:widowControl w:val="1"/>
      <w:shd w:color="auto" w:fill="auto" w:val="clear"/>
      <w:suppressAutoHyphens w:val="0"/>
      <w:bidi w:val="0"/>
      <w:spacing w:after="180" w:before="18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2" w:type="paragraph">
    <w:name w:val="Heading 2"/>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1"/>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32"/>
      <w:szCs w:val="32"/>
      <w:u w:color="0f4761" w:val="none"/>
      <w:shd w:color="auto" w:fill="auto" w:val="nil"/>
      <w:vertAlign w:val="baseline"/>
      <w14:textOutline>
        <w14:noFill/>
      </w14:textOutline>
      <w14:textFill>
        <w14:solidFill>
          <w14:srgbClr w14:val="0F4761"/>
        </w14:solidFill>
      </w14:textFill>
    </w:rPr>
  </w:style>
  <w:style w:styleId="Imported Style 1" w:type="numbering">
    <w:name w:val="Imported Style 1"/>
    <w:pPr>
      <w:numPr>
        <w:numId w:val="1"/>
      </w:numPr>
    </w:pPr>
  </w:style>
  <w:style w:styleId="Imported Style 2" w:type="numbering">
    <w:name w:val="Imported Style 2"/>
    <w:pPr>
      <w:numPr>
        <w:numId w:val="3"/>
      </w:numPr>
    </w:pPr>
  </w:style>
  <w:style w:styleId="Compact" w:type="paragraph">
    <w:name w:val="Compact"/>
    <w:next w:val="Compact"/>
    <w:pPr>
      <w:keepNext w:val="0"/>
      <w:keepLines w:val="0"/>
      <w:pageBreakBefore w:val="0"/>
      <w:widowControl w:val="1"/>
      <w:shd w:color="auto" w:fill="auto" w:val="clear"/>
      <w:suppressAutoHyphens w:val="0"/>
      <w:bidi w:val="0"/>
      <w:spacing w:after="36" w:before="36"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styleId="Heading 3" w:type="paragraph">
    <w:name w:val="Heading 3"/>
    <w:next w:val="Body Text"/>
    <w:pPr>
      <w:keepNext w:val="1"/>
      <w:keepLines w:val="1"/>
      <w:pageBreakBefore w:val="0"/>
      <w:widowControl w:val="1"/>
      <w:shd w:color="auto" w:fill="auto" w:val="clear"/>
      <w:suppressAutoHyphens w:val="0"/>
      <w:bidi w:val="0"/>
      <w:spacing w:after="80" w:before="160" w:line="240" w:lineRule="auto"/>
      <w:ind w:firstLine="0" w:left="0" w:right="0"/>
      <w:jc w:val="left"/>
      <w:outlineLvl w:val="2"/>
    </w:pPr>
    <w:rPr>
      <w:rFonts w:ascii="Times New Roman" w:cs="Times New Roman" w:eastAsia="Times New Roman" w:hAnsi="Times New Roman"/>
      <w:b w:val="0"/>
      <w:bCs w:val="0"/>
      <w:i w:val="0"/>
      <w:iCs w:val="0"/>
      <w:caps w:val="0"/>
      <w:smallCaps w:val="0"/>
      <w:strike w:val="0"/>
      <w:dstrike w:val="0"/>
      <w:outline w:val="0"/>
      <w:color w:val="0f4761"/>
      <w:spacing w:val="0"/>
      <w:kern w:val="0"/>
      <w:position w:val="0"/>
      <w:sz w:val="28"/>
      <w:szCs w:val="28"/>
      <w:u w:color="0f4761" w:val="none"/>
      <w:shd w:color="auto" w:fill="auto" w:val="nil"/>
      <w:vertAlign w:val="baseline"/>
      <w14:textOutline>
        <w14:noFill/>
      </w14:textOutline>
      <w14:textFill>
        <w14:solidFill>
          <w14:srgbClr w14:val="0F4761"/>
        </w14:solidFill>
      </w14:textFill>
    </w:rPr>
  </w:style>
  <w:style w:styleId="Source Code" w:type="paragraph">
    <w:name w:val="Source Code"/>
    <w:next w:val="Source Code"/>
    <w:pPr>
      <w:keepNext w:val="0"/>
      <w:keepLines w:val="0"/>
      <w:pageBreakBefore w:val="0"/>
      <w:widowControl w:val="1"/>
      <w:shd w:color="auto" w:fill="auto" w:val="clear"/>
      <w:suppressAutoHyphens w:val="0"/>
      <w:bidi w:val="0"/>
      <w:spacing w:after="200" w:before="0" w:line="240" w:lineRule="auto"/>
      <w:ind w:firstLine="0" w:left="0" w:right="0"/>
      <w:jc w:val="left"/>
      <w:outlineLvl w:val="9"/>
    </w:pPr>
    <w:rPr>
      <w:rFonts w:ascii="Times New Roman" w:cs="Arial Unicode MS" w:eastAsia="Arial Unicode MS" w:hAnsi="Times New Roman"/>
      <w:b w:val="0"/>
      <w:bCs w:val="0"/>
      <w:i w:val="0"/>
      <w:iCs w:val="0"/>
      <w:caps w:val="0"/>
      <w:smallCaps w:val="0"/>
      <w:strike w:val="0"/>
      <w:dstrike w:val="0"/>
      <w:outline w:val="0"/>
      <w:color w:val="000000"/>
      <w:spacing w:val="0"/>
      <w:kern w:val="0"/>
      <w:position w:val="0"/>
      <w:sz w:val="24"/>
      <w:szCs w:val="24"/>
      <w:u w:color="000000" w:val="none"/>
      <w:shd w:color="auto" w:fill="auto" w:val="nil"/>
      <w:vertAlign w:val="baseline"/>
      <w:lang w:val="en-US"/>
      <w14:textFill>
        <w14:solidFill>
          <w14:srgbClr w14:val="000000"/>
        </w14:solidFill>
      </w14:textFill>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8" Target="numbering.xml" /><Relationship Type="http://schemas.openxmlformats.org/officeDocument/2006/relationships/styles" Id="rId117" Target="styles.xml" /><Relationship Type="http://schemas.openxmlformats.org/officeDocument/2006/relationships/settings" Id="rId116" Target="settings.xml" /><Relationship Type="http://schemas.openxmlformats.org/officeDocument/2006/relationships/webSettings" Id="rId115" Target="webSettings.xml" /><Relationship Type="http://schemas.openxmlformats.org/officeDocument/2006/relationships/fontTable" Id="rId114" Target="fontTable.xml" /><Relationship Type="http://schemas.openxmlformats.org/officeDocument/2006/relationships/theme" Id="rId113" Target="theme/theme1.xml" /><Relationship Type="http://schemas.openxmlformats.org/officeDocument/2006/relationships/footnotes" Id="rId112" Target="footnotes.xml" /><Relationship Type="http://schemas.openxmlformats.org/officeDocument/2006/relationships/comments" Id="rId111" Target="comments.xml" /><Relationship Id="rId4" Target="media/image1.png" Type="http://schemas.openxmlformats.org/officeDocument/2006/relationships/image" /><Relationship Id="rId5" Target="header1.xml" Type="http://schemas.openxmlformats.org/officeDocument/2006/relationships/header" /><Relationship Id="rId6" Target="header2.xml" Type="http://schemas.openxmlformats.org/officeDocument/2006/relationships/header" /><Relationship Id="rId7" Target="footer1.xml" Type="http://schemas.openxmlformats.org/officeDocument/2006/relationships/footer" /><Relationship Id="rId8" Target="footer2.xml" Type="http://schemas.openxmlformats.org/officeDocument/2006/relationships/footer" /><Relationship Id="rId11" Target="media/image2.png" Type="http://schemas.openxmlformats.org/officeDocument/2006/relationships/image" /><Relationship Id="rId12" Target="media/image3.png" Type="http://schemas.openxmlformats.org/officeDocument/2006/relationships/image" /><Relationship Id="rId13" Target="media/image4.png" Type="http://schemas.openxmlformats.org/officeDocument/2006/relationships/image" /><Relationship Id="rId14" Target="media/image5.png" Type="http://schemas.openxmlformats.org/officeDocument/2006/relationships/image" /><Relationship Id="rId44" Target="media/rId44.png" Type="http://schemas.openxmlformats.org/officeDocument/2006/relationships/image" /><Relationship Id="rId53" Target="media/rId53.png" Type="http://schemas.openxmlformats.org/officeDocument/2006/relationships/image" /><Relationship Id="rId57" Target="media/rId57.png" Type="http://schemas.openxmlformats.org/officeDocument/2006/relationships/image" /><Relationship Id="rId62" Target="media/rId62.png" Type="http://schemas.openxmlformats.org/officeDocument/2006/relationships/image" /><Relationship Id="rId23" Target="media/rId23.png" Type="http://schemas.openxmlformats.org/officeDocument/2006/relationships/image" /><Relationship Id="rId92" Target="media/rId92.png" Type="http://schemas.openxmlformats.org/officeDocument/2006/relationships/image" /><Relationship Id="rId101" Target="media/rId101.png" Type="http://schemas.openxmlformats.org/officeDocument/2006/relationships/image" /><Relationship Id="rId105" Target="media/rId105.png" Type="http://schemas.openxmlformats.org/officeDocument/2006/relationships/image" /><Relationship Id="rId110" Target="media/rId110.png" Type="http://schemas.openxmlformats.org/officeDocument/2006/relationships/image" /><Relationship Id="rId71" Target="media/rId71.png" Type="http://schemas.openxmlformats.org/officeDocument/2006/relationships/image" /><Relationship Type="http://schemas.openxmlformats.org/officeDocument/2006/relationships/image" Id="rId140" Target="media/rId140.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19" Target="media/rId119.png"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2026-08-03T14:47:49Z</dcterms:created>
  <dcterms:modified xsi:type="dcterms:W3CDTF">2026-08-03T14:47:49Z</dcterms:modified>
</cp:coreProperties>
</file>

<file path=docProps/custom.xml><?xml version="1.0" encoding="utf-8"?>
<Properties xmlns="http://schemas.openxmlformats.org/officeDocument/2006/custom-properties" xmlns:vt="http://schemas.openxmlformats.org/officeDocument/2006/docPropsVTypes"/>
</file>