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1A033" w14:textId="06C6B1D4" w:rsidR="0014005F" w:rsidRDefault="0014005F" w:rsidP="0014005F">
      <w:pPr>
        <w:jc w:val="center"/>
        <w:rPr>
          <w:rFonts w:cs="Times New Roman"/>
          <w:b/>
          <w:bCs/>
          <w:color w:val="auto"/>
          <w:kern w:val="24"/>
          <w:sz w:val="36"/>
          <w:szCs w:val="36"/>
        </w:rPr>
      </w:pPr>
      <w:r w:rsidRPr="0014005F">
        <w:rPr>
          <w:rFonts w:cs="Times New Roman"/>
          <w:b/>
          <w:bCs/>
          <w:color w:val="auto"/>
          <w:kern w:val="24"/>
          <w:sz w:val="36"/>
          <w:szCs w:val="36"/>
        </w:rPr>
        <w:t>THE ROLE OF REMITTANCE</w:t>
      </w:r>
      <w:r>
        <w:rPr>
          <w:rFonts w:cs="Times New Roman"/>
          <w:b/>
          <w:bCs/>
          <w:color w:val="auto"/>
          <w:kern w:val="24"/>
          <w:sz w:val="36"/>
          <w:szCs w:val="36"/>
        </w:rPr>
        <w:t xml:space="preserve"> ON HOUSEHOLD ECONOMY IN ARJUNCHAUPARI RURAL MUNICIPALITY, SYANGJA</w:t>
      </w:r>
    </w:p>
    <w:p w14:paraId="6729ACCE" w14:textId="77777777" w:rsidR="0014005F" w:rsidRPr="0014005F" w:rsidRDefault="0014005F" w:rsidP="0014005F">
      <w:pPr>
        <w:jc w:val="center"/>
        <w:rPr>
          <w:rFonts w:cs="Times New Roman"/>
          <w:b/>
          <w:bCs/>
          <w:color w:val="auto"/>
          <w:kern w:val="24"/>
          <w:sz w:val="36"/>
          <w:szCs w:val="36"/>
        </w:rPr>
      </w:pPr>
    </w:p>
    <w:p w14:paraId="07CB924F" w14:textId="77777777" w:rsidR="0014005F" w:rsidRPr="0014005F" w:rsidRDefault="0014005F" w:rsidP="0014005F">
      <w:pPr>
        <w:jc w:val="center"/>
        <w:rPr>
          <w:rFonts w:cs="Times New Roman"/>
          <w:b/>
          <w:bCs/>
          <w:color w:val="auto"/>
          <w:kern w:val="24"/>
          <w:sz w:val="36"/>
          <w:szCs w:val="36"/>
        </w:rPr>
      </w:pPr>
    </w:p>
    <w:p w14:paraId="27B882A5" w14:textId="77777777" w:rsidR="0014005F" w:rsidRPr="0014005F" w:rsidRDefault="0014005F" w:rsidP="0014005F">
      <w:pPr>
        <w:jc w:val="center"/>
        <w:rPr>
          <w:rFonts w:cs="Times New Roman"/>
          <w:b/>
          <w:bCs/>
          <w:color w:val="auto"/>
          <w:kern w:val="24"/>
          <w:sz w:val="36"/>
          <w:szCs w:val="36"/>
        </w:rPr>
      </w:pPr>
      <w:r w:rsidRPr="0014005F">
        <w:rPr>
          <w:rFonts w:cs="Times New Roman"/>
          <w:b/>
          <w:bCs/>
          <w:color w:val="auto"/>
          <w:kern w:val="24"/>
          <w:sz w:val="36"/>
          <w:szCs w:val="36"/>
        </w:rPr>
        <w:t>A Thesis</w:t>
      </w:r>
    </w:p>
    <w:p w14:paraId="6C78B248"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Submitted to the Department of Economics,</w:t>
      </w:r>
    </w:p>
    <w:p w14:paraId="6D5C52CA"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Faculty of Humanities and Social Sciences,</w:t>
      </w:r>
    </w:p>
    <w:p w14:paraId="09E0F91C"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Tribhuvan University, Nepal,</w:t>
      </w:r>
    </w:p>
    <w:p w14:paraId="16C1660A"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 xml:space="preserve"> in Partial Fulfillment of the Requirements </w:t>
      </w:r>
    </w:p>
    <w:p w14:paraId="14745052"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for the Degree of</w:t>
      </w:r>
    </w:p>
    <w:p w14:paraId="4D3A2697"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p>
    <w:p w14:paraId="4AE74FAA"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MASTER OF ARTS</w:t>
      </w:r>
    </w:p>
    <w:p w14:paraId="26E7FA4F"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 xml:space="preserve">in </w:t>
      </w:r>
    </w:p>
    <w:p w14:paraId="2C7A8277"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p>
    <w:p w14:paraId="72EBD9EE" w14:textId="77777777" w:rsid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ECONOMICS</w:t>
      </w:r>
    </w:p>
    <w:p w14:paraId="521AA1D2" w14:textId="77777777" w:rsidR="00BA14EE" w:rsidRDefault="00BA14EE" w:rsidP="0014005F">
      <w:pPr>
        <w:pStyle w:val="NormalWeb"/>
        <w:spacing w:before="0" w:beforeAutospacing="0" w:after="0" w:afterAutospacing="0"/>
        <w:jc w:val="center"/>
        <w:rPr>
          <w:rFonts w:eastAsiaTheme="minorEastAsia"/>
          <w:b/>
          <w:bCs/>
          <w:kern w:val="24"/>
          <w:sz w:val="28"/>
          <w:szCs w:val="28"/>
        </w:rPr>
      </w:pPr>
    </w:p>
    <w:p w14:paraId="50617107" w14:textId="77777777" w:rsidR="00BA14EE" w:rsidRPr="0014005F" w:rsidRDefault="00BA14EE" w:rsidP="0014005F">
      <w:pPr>
        <w:pStyle w:val="NormalWeb"/>
        <w:spacing w:before="0" w:beforeAutospacing="0" w:after="0" w:afterAutospacing="0"/>
        <w:jc w:val="center"/>
        <w:rPr>
          <w:rFonts w:eastAsiaTheme="minorEastAsia"/>
          <w:b/>
          <w:bCs/>
          <w:kern w:val="24"/>
          <w:sz w:val="28"/>
          <w:szCs w:val="28"/>
        </w:rPr>
      </w:pPr>
    </w:p>
    <w:p w14:paraId="5D148355"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p>
    <w:p w14:paraId="76FF4817"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p>
    <w:p w14:paraId="3A7D8FFE"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 xml:space="preserve">By </w:t>
      </w:r>
    </w:p>
    <w:p w14:paraId="7E09E401"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SHOVAKANTA  DEVKOTA</w:t>
      </w:r>
    </w:p>
    <w:p w14:paraId="5C7CE74F" w14:textId="77777777" w:rsidR="0014005F" w:rsidRPr="0014005F" w:rsidRDefault="0014005F" w:rsidP="0014005F">
      <w:pPr>
        <w:pStyle w:val="NormalWeb"/>
        <w:spacing w:before="58" w:beforeAutospacing="0" w:after="0" w:afterAutospacing="0"/>
        <w:jc w:val="center"/>
        <w:rPr>
          <w:sz w:val="28"/>
          <w:szCs w:val="28"/>
        </w:rPr>
      </w:pPr>
      <w:r w:rsidRPr="0014005F">
        <w:rPr>
          <w:rFonts w:eastAsiaTheme="minorEastAsia"/>
          <w:b/>
          <w:bCs/>
          <w:kern w:val="24"/>
          <w:sz w:val="28"/>
          <w:szCs w:val="28"/>
        </w:rPr>
        <w:t>Roll No: 4814065</w:t>
      </w:r>
    </w:p>
    <w:p w14:paraId="3EC29FBC" w14:textId="77777777" w:rsidR="0014005F" w:rsidRPr="0014005F" w:rsidRDefault="0014005F" w:rsidP="0014005F">
      <w:pPr>
        <w:pStyle w:val="NormalWeb"/>
        <w:spacing w:before="58" w:beforeAutospacing="0" w:after="0" w:afterAutospacing="0"/>
        <w:jc w:val="center"/>
        <w:rPr>
          <w:sz w:val="28"/>
          <w:szCs w:val="28"/>
        </w:rPr>
      </w:pPr>
      <w:r w:rsidRPr="0014005F">
        <w:rPr>
          <w:rFonts w:eastAsiaTheme="minorEastAsia"/>
          <w:b/>
          <w:bCs/>
          <w:kern w:val="24"/>
          <w:sz w:val="28"/>
          <w:szCs w:val="28"/>
        </w:rPr>
        <w:t>Regd. No:5-1-48-2905-2002</w:t>
      </w:r>
    </w:p>
    <w:p w14:paraId="4B76C790" w14:textId="77777777" w:rsidR="0014005F" w:rsidRPr="0014005F" w:rsidRDefault="0014005F" w:rsidP="0014005F">
      <w:pPr>
        <w:pStyle w:val="NormalWeb"/>
        <w:spacing w:before="58" w:beforeAutospacing="0" w:after="0" w:afterAutospacing="0"/>
        <w:jc w:val="center"/>
        <w:rPr>
          <w:rFonts w:eastAsiaTheme="minorEastAsia"/>
          <w:b/>
          <w:bCs/>
          <w:kern w:val="24"/>
          <w:sz w:val="28"/>
          <w:szCs w:val="28"/>
        </w:rPr>
      </w:pPr>
      <w:r w:rsidRPr="0014005F">
        <w:rPr>
          <w:rFonts w:eastAsiaTheme="minorEastAsia"/>
          <w:b/>
          <w:bCs/>
          <w:kern w:val="24"/>
          <w:sz w:val="28"/>
          <w:szCs w:val="28"/>
        </w:rPr>
        <w:t xml:space="preserve"> Department of Economics</w:t>
      </w:r>
    </w:p>
    <w:p w14:paraId="26D2B81B" w14:textId="77777777" w:rsidR="0014005F" w:rsidRPr="0014005F" w:rsidRDefault="0014005F" w:rsidP="0014005F">
      <w:pPr>
        <w:pStyle w:val="NormalWeb"/>
        <w:spacing w:before="58" w:beforeAutospacing="0" w:after="0" w:afterAutospacing="0"/>
        <w:jc w:val="center"/>
        <w:rPr>
          <w:rFonts w:eastAsiaTheme="minorEastAsia"/>
          <w:b/>
          <w:bCs/>
          <w:kern w:val="24"/>
          <w:sz w:val="28"/>
          <w:szCs w:val="28"/>
        </w:rPr>
      </w:pPr>
      <w:r w:rsidRPr="0014005F">
        <w:rPr>
          <w:rFonts w:eastAsiaTheme="minorEastAsia"/>
          <w:b/>
          <w:bCs/>
          <w:kern w:val="24"/>
          <w:sz w:val="28"/>
          <w:szCs w:val="28"/>
        </w:rPr>
        <w:t>Prithvi Narayan Campus</w:t>
      </w:r>
    </w:p>
    <w:p w14:paraId="7CEDA0A6" w14:textId="77777777" w:rsid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Pokhara, Nepal</w:t>
      </w:r>
    </w:p>
    <w:p w14:paraId="02E26B3E" w14:textId="77777777" w:rsidR="00BA14EE" w:rsidRDefault="00BA14EE" w:rsidP="0014005F">
      <w:pPr>
        <w:pStyle w:val="NormalWeb"/>
        <w:spacing w:before="0" w:beforeAutospacing="0" w:after="0" w:afterAutospacing="0"/>
        <w:jc w:val="center"/>
        <w:rPr>
          <w:rFonts w:eastAsiaTheme="minorEastAsia"/>
          <w:b/>
          <w:bCs/>
          <w:kern w:val="24"/>
          <w:sz w:val="28"/>
          <w:szCs w:val="28"/>
        </w:rPr>
      </w:pPr>
    </w:p>
    <w:p w14:paraId="77D956CB" w14:textId="77777777" w:rsidR="00BA14EE" w:rsidRDefault="00BA14EE" w:rsidP="0014005F">
      <w:pPr>
        <w:pStyle w:val="NormalWeb"/>
        <w:spacing w:before="0" w:beforeAutospacing="0" w:after="0" w:afterAutospacing="0"/>
        <w:jc w:val="center"/>
        <w:rPr>
          <w:rFonts w:eastAsiaTheme="minorEastAsia"/>
          <w:b/>
          <w:bCs/>
          <w:kern w:val="24"/>
          <w:sz w:val="28"/>
          <w:szCs w:val="28"/>
        </w:rPr>
      </w:pPr>
    </w:p>
    <w:p w14:paraId="20556B22" w14:textId="77777777" w:rsidR="00BA14EE" w:rsidRDefault="00BA14EE" w:rsidP="0014005F">
      <w:pPr>
        <w:pStyle w:val="NormalWeb"/>
        <w:spacing w:before="0" w:beforeAutospacing="0" w:after="0" w:afterAutospacing="0"/>
        <w:jc w:val="center"/>
        <w:rPr>
          <w:rFonts w:eastAsiaTheme="minorEastAsia"/>
          <w:b/>
          <w:bCs/>
          <w:kern w:val="24"/>
          <w:sz w:val="28"/>
          <w:szCs w:val="28"/>
        </w:rPr>
      </w:pPr>
    </w:p>
    <w:p w14:paraId="15877D1E" w14:textId="77777777" w:rsidR="00BA14EE" w:rsidRDefault="00BA14EE" w:rsidP="0014005F">
      <w:pPr>
        <w:pStyle w:val="NormalWeb"/>
        <w:spacing w:before="0" w:beforeAutospacing="0" w:after="0" w:afterAutospacing="0"/>
        <w:jc w:val="center"/>
        <w:rPr>
          <w:rFonts w:eastAsiaTheme="minorEastAsia"/>
          <w:b/>
          <w:bCs/>
          <w:kern w:val="24"/>
          <w:sz w:val="28"/>
          <w:szCs w:val="28"/>
        </w:rPr>
      </w:pPr>
    </w:p>
    <w:p w14:paraId="30D213A4" w14:textId="77777777" w:rsidR="00BA14EE" w:rsidRDefault="00BA14EE" w:rsidP="0014005F">
      <w:pPr>
        <w:pStyle w:val="NormalWeb"/>
        <w:spacing w:before="0" w:beforeAutospacing="0" w:after="0" w:afterAutospacing="0"/>
        <w:jc w:val="center"/>
        <w:rPr>
          <w:rFonts w:eastAsiaTheme="minorEastAsia"/>
          <w:b/>
          <w:bCs/>
          <w:kern w:val="24"/>
          <w:sz w:val="28"/>
          <w:szCs w:val="28"/>
        </w:rPr>
      </w:pPr>
    </w:p>
    <w:p w14:paraId="1E90CD6B" w14:textId="77777777" w:rsidR="00BA14EE" w:rsidRDefault="00BA14EE" w:rsidP="0014005F">
      <w:pPr>
        <w:pStyle w:val="NormalWeb"/>
        <w:spacing w:before="0" w:beforeAutospacing="0" w:after="0" w:afterAutospacing="0"/>
        <w:jc w:val="center"/>
        <w:rPr>
          <w:rFonts w:eastAsiaTheme="minorEastAsia"/>
          <w:b/>
          <w:bCs/>
          <w:kern w:val="24"/>
          <w:sz w:val="28"/>
          <w:szCs w:val="28"/>
        </w:rPr>
      </w:pPr>
    </w:p>
    <w:p w14:paraId="14737260" w14:textId="77777777" w:rsidR="00BA14EE" w:rsidRPr="0014005F" w:rsidRDefault="00BA14EE" w:rsidP="0014005F">
      <w:pPr>
        <w:pStyle w:val="NormalWeb"/>
        <w:spacing w:before="0" w:beforeAutospacing="0" w:after="0" w:afterAutospacing="0"/>
        <w:jc w:val="center"/>
        <w:rPr>
          <w:rFonts w:eastAsiaTheme="minorEastAsia"/>
          <w:b/>
          <w:bCs/>
          <w:kern w:val="24"/>
          <w:sz w:val="28"/>
          <w:szCs w:val="28"/>
        </w:rPr>
      </w:pPr>
    </w:p>
    <w:p w14:paraId="4338ED07"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p>
    <w:p w14:paraId="79E9EE98" w14:textId="77777777" w:rsidR="0014005F" w:rsidRPr="0014005F" w:rsidRDefault="0014005F" w:rsidP="0014005F">
      <w:pPr>
        <w:pStyle w:val="NormalWeb"/>
        <w:spacing w:before="0" w:beforeAutospacing="0" w:after="0" w:afterAutospacing="0"/>
        <w:jc w:val="center"/>
        <w:rPr>
          <w:rFonts w:eastAsiaTheme="minorEastAsia"/>
          <w:b/>
          <w:bCs/>
          <w:kern w:val="24"/>
          <w:sz w:val="28"/>
          <w:szCs w:val="28"/>
        </w:rPr>
      </w:pPr>
      <w:r w:rsidRPr="0014005F">
        <w:rPr>
          <w:rFonts w:eastAsiaTheme="minorEastAsia"/>
          <w:b/>
          <w:bCs/>
          <w:kern w:val="24"/>
          <w:sz w:val="28"/>
          <w:szCs w:val="28"/>
        </w:rPr>
        <w:t>June 11, 2024</w:t>
      </w:r>
    </w:p>
    <w:p w14:paraId="5D7B612C" w14:textId="77777777" w:rsidR="00343903" w:rsidRPr="0014005F" w:rsidRDefault="00343903" w:rsidP="007B1BDB">
      <w:pPr>
        <w:spacing w:line="360" w:lineRule="auto"/>
        <w:jc w:val="center"/>
        <w:rPr>
          <w:rFonts w:cs="Times New Roman"/>
          <w:b/>
          <w:bCs/>
          <w:color w:val="auto"/>
          <w:szCs w:val="24"/>
        </w:rPr>
      </w:pPr>
    </w:p>
    <w:p w14:paraId="1E271E74" w14:textId="77777777" w:rsidR="0014005F" w:rsidRDefault="0014005F" w:rsidP="007B1BDB">
      <w:pPr>
        <w:spacing w:line="360" w:lineRule="auto"/>
        <w:jc w:val="center"/>
        <w:rPr>
          <w:rFonts w:cs="Times New Roman"/>
          <w:sz w:val="25"/>
          <w:szCs w:val="25"/>
        </w:rPr>
      </w:pPr>
    </w:p>
    <w:p w14:paraId="5E1216CA" w14:textId="77777777" w:rsidR="0014005F" w:rsidRDefault="0014005F">
      <w:pPr>
        <w:jc w:val="left"/>
        <w:rPr>
          <w:rFonts w:cs="Times New Roman"/>
          <w:sz w:val="25"/>
          <w:szCs w:val="25"/>
        </w:rPr>
      </w:pPr>
      <w:r>
        <w:rPr>
          <w:rFonts w:cs="Times New Roman"/>
          <w:sz w:val="25"/>
          <w:szCs w:val="25"/>
        </w:rPr>
        <w:br w:type="page"/>
      </w:r>
    </w:p>
    <w:p w14:paraId="048AFA30" w14:textId="77777777" w:rsidR="0014005F" w:rsidRDefault="0014005F" w:rsidP="007B1BDB">
      <w:pPr>
        <w:spacing w:line="360" w:lineRule="auto"/>
        <w:jc w:val="center"/>
        <w:rPr>
          <w:rFonts w:cs="Times New Roman"/>
          <w:sz w:val="25"/>
          <w:szCs w:val="25"/>
        </w:rPr>
      </w:pPr>
    </w:p>
    <w:p w14:paraId="1792F971" w14:textId="77777777" w:rsidR="0014005F" w:rsidRDefault="0014005F">
      <w:pPr>
        <w:jc w:val="left"/>
        <w:rPr>
          <w:rFonts w:cs="Times New Roman"/>
          <w:sz w:val="25"/>
          <w:szCs w:val="25"/>
        </w:rPr>
      </w:pPr>
      <w:r>
        <w:rPr>
          <w:rFonts w:cs="Times New Roman"/>
          <w:sz w:val="25"/>
          <w:szCs w:val="25"/>
        </w:rPr>
        <w:br w:type="page"/>
      </w:r>
    </w:p>
    <w:p w14:paraId="774DEDB8" w14:textId="62ACBB1C" w:rsidR="00343903" w:rsidRPr="00B0171D" w:rsidRDefault="00343903" w:rsidP="007B1BDB">
      <w:pPr>
        <w:spacing w:line="360" w:lineRule="auto"/>
        <w:jc w:val="center"/>
        <w:rPr>
          <w:rFonts w:cs="Times New Roman"/>
          <w:sz w:val="25"/>
          <w:szCs w:val="25"/>
        </w:rPr>
      </w:pPr>
      <w:r w:rsidRPr="00B0171D">
        <w:rPr>
          <w:rFonts w:cs="Times New Roman"/>
          <w:sz w:val="25"/>
          <w:szCs w:val="25"/>
        </w:rPr>
        <w:lastRenderedPageBreak/>
        <w:t>The</w:t>
      </w:r>
      <w:r w:rsidR="00B0171D" w:rsidRPr="00B0171D">
        <w:rPr>
          <w:rFonts w:cs="Times New Roman"/>
          <w:sz w:val="25"/>
          <w:szCs w:val="25"/>
        </w:rPr>
        <w:t xml:space="preserve"> R</w:t>
      </w:r>
      <w:r w:rsidRPr="00B0171D">
        <w:rPr>
          <w:rFonts w:cs="Times New Roman"/>
          <w:sz w:val="25"/>
          <w:szCs w:val="25"/>
        </w:rPr>
        <w:t xml:space="preserve">ole of </w:t>
      </w:r>
      <w:r w:rsidR="00B0171D" w:rsidRPr="00B0171D">
        <w:rPr>
          <w:rFonts w:cs="Times New Roman"/>
          <w:sz w:val="25"/>
          <w:szCs w:val="25"/>
        </w:rPr>
        <w:t>R</w:t>
      </w:r>
      <w:r w:rsidRPr="00B0171D">
        <w:rPr>
          <w:rFonts w:cs="Times New Roman"/>
          <w:sz w:val="25"/>
          <w:szCs w:val="25"/>
        </w:rPr>
        <w:t xml:space="preserve">emittance on </w:t>
      </w:r>
      <w:r w:rsidR="00B0171D" w:rsidRPr="00B0171D">
        <w:rPr>
          <w:rFonts w:cs="Times New Roman"/>
          <w:sz w:val="25"/>
          <w:szCs w:val="25"/>
        </w:rPr>
        <w:t>H</w:t>
      </w:r>
      <w:r w:rsidRPr="00B0171D">
        <w:rPr>
          <w:rFonts w:cs="Times New Roman"/>
          <w:sz w:val="25"/>
          <w:szCs w:val="25"/>
        </w:rPr>
        <w:t xml:space="preserve">ousehold </w:t>
      </w:r>
      <w:r w:rsidR="00B0171D" w:rsidRPr="00B0171D">
        <w:rPr>
          <w:rFonts w:cs="Times New Roman"/>
          <w:sz w:val="25"/>
          <w:szCs w:val="25"/>
        </w:rPr>
        <w:t>E</w:t>
      </w:r>
      <w:r w:rsidRPr="00B0171D">
        <w:rPr>
          <w:rFonts w:cs="Times New Roman"/>
          <w:sz w:val="25"/>
          <w:szCs w:val="25"/>
        </w:rPr>
        <w:t xml:space="preserve">conomy in Arjun </w:t>
      </w:r>
      <w:proofErr w:type="spellStart"/>
      <w:r w:rsidRPr="00B0171D">
        <w:rPr>
          <w:rFonts w:cs="Times New Roman"/>
          <w:sz w:val="25"/>
          <w:szCs w:val="25"/>
        </w:rPr>
        <w:t>Chaupari</w:t>
      </w:r>
      <w:proofErr w:type="spellEnd"/>
      <w:r w:rsidRPr="00B0171D">
        <w:rPr>
          <w:rFonts w:cs="Times New Roman"/>
          <w:sz w:val="25"/>
          <w:szCs w:val="25"/>
        </w:rPr>
        <w:t xml:space="preserve"> Rural Municipality, </w:t>
      </w:r>
      <w:proofErr w:type="spellStart"/>
      <w:r w:rsidR="007631DF" w:rsidRPr="00B0171D">
        <w:rPr>
          <w:rFonts w:cs="Times New Roman"/>
          <w:sz w:val="25"/>
          <w:szCs w:val="25"/>
        </w:rPr>
        <w:t>Syangja</w:t>
      </w:r>
      <w:proofErr w:type="spellEnd"/>
    </w:p>
    <w:p w14:paraId="4E272D5C" w14:textId="29AA9642" w:rsidR="00343903" w:rsidRPr="00343903" w:rsidRDefault="00A859E5" w:rsidP="007B1BDB">
      <w:pPr>
        <w:spacing w:line="360" w:lineRule="auto"/>
        <w:jc w:val="center"/>
        <w:rPr>
          <w:rFonts w:eastAsia="Times New Roman"/>
        </w:rPr>
      </w:pPr>
      <w:r w:rsidRPr="00A859E5">
        <w:rPr>
          <w:rFonts w:eastAsia="Times New Roman"/>
          <w:noProof/>
        </w:rPr>
        <mc:AlternateContent>
          <mc:Choice Requires="wps">
            <w:drawing>
              <wp:anchor distT="45720" distB="45720" distL="114300" distR="114300" simplePos="0" relativeHeight="251661312" behindDoc="0" locked="0" layoutInCell="1" allowOverlap="1" wp14:anchorId="167CEEEF" wp14:editId="1CFDC565">
                <wp:simplePos x="0" y="0"/>
                <wp:positionH relativeFrom="column">
                  <wp:posOffset>1971675</wp:posOffset>
                </wp:positionH>
                <wp:positionV relativeFrom="page">
                  <wp:posOffset>1943100</wp:posOffset>
                </wp:positionV>
                <wp:extent cx="2085340" cy="391160"/>
                <wp:effectExtent l="0" t="0" r="24130" b="177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391160"/>
                        </a:xfrm>
                        <a:prstGeom prst="rect">
                          <a:avLst/>
                        </a:prstGeom>
                        <a:solidFill>
                          <a:schemeClr val="bg1"/>
                        </a:solidFill>
                        <a:ln w="9525">
                          <a:solidFill>
                            <a:schemeClr val="bg1"/>
                          </a:solidFill>
                          <a:miter lim="800000"/>
                          <a:headEnd/>
                          <a:tailEnd/>
                        </a:ln>
                      </wps:spPr>
                      <wps:txbx>
                        <w:txbxContent>
                          <w:p w14:paraId="6C8B4BC1" w14:textId="753EB2DD" w:rsidR="00A859E5" w:rsidRPr="00A859E5" w:rsidRDefault="00A859E5" w:rsidP="00A859E5">
                            <w:pPr>
                              <w:pStyle w:val="Heading1"/>
                              <w:shd w:val="clear" w:color="auto" w:fill="FFFFFF" w:themeFill="background1"/>
                              <w:rPr>
                                <w:color w:val="FFFFFF" w:themeColor="background1"/>
                              </w:rPr>
                            </w:pPr>
                            <w:bookmarkStart w:id="0" w:name="_Toc171485410"/>
                            <w:r w:rsidRPr="00A859E5">
                              <w:rPr>
                                <w:color w:val="FFFFFF" w:themeColor="background1"/>
                              </w:rPr>
                              <w:t>Title page of the GRP</w:t>
                            </w:r>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7CEEEF" id="_x0000_t202" coordsize="21600,21600" o:spt="202" path="m,l,21600r21600,l21600,xe">
                <v:stroke joinstyle="miter"/>
                <v:path gradientshapeok="t" o:connecttype="rect"/>
              </v:shapetype>
              <v:shape id="Text Box 2" o:spid="_x0000_s1026" type="#_x0000_t202" style="position:absolute;left:0;text-align:left;margin-left:155.25pt;margin-top:153pt;width:164.2pt;height:30.8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" fillcolor="white [3212]" strokecolor="white [3212]">
                <v:textbox style="mso-fit-shape-to-text:t">
                  <w:txbxContent>
                    <w:p w14:paraId="6C8B4BC1" w14:textId="753EB2DD" w:rsidR="00A859E5" w:rsidRPr="00A859E5" w:rsidRDefault="00A859E5" w:rsidP="00A859E5">
                      <w:pPr>
                        <w:pStyle w:val="Heading1"/>
                        <w:shd w:val="clear" w:color="auto" w:fill="FFFFFF" w:themeFill="background1"/>
                        <w:rPr>
                          <w:color w:val="FFFFFF" w:themeColor="background1"/>
                        </w:rPr>
                      </w:pPr>
                      <w:bookmarkStart w:id="1" w:name="_Toc171485410"/>
                      <w:r w:rsidRPr="00A859E5">
                        <w:rPr>
                          <w:color w:val="FFFFFF" w:themeColor="background1"/>
                        </w:rPr>
                        <w:t>Title page of the GRP</w:t>
                      </w:r>
                      <w:bookmarkEnd w:id="1"/>
                    </w:p>
                  </w:txbxContent>
                </v:textbox>
                <w10:wrap type="topAndBottom" anchory="page"/>
              </v:shape>
            </w:pict>
          </mc:Fallback>
        </mc:AlternateContent>
      </w:r>
      <w:r w:rsidR="00343903" w:rsidRPr="00343903">
        <w:rPr>
          <w:rFonts w:eastAsia="Times New Roman"/>
        </w:rPr>
        <w:t>By</w:t>
      </w:r>
    </w:p>
    <w:p w14:paraId="5003F07F" w14:textId="4ABB39E1" w:rsidR="00343903" w:rsidRPr="00343903" w:rsidRDefault="00343903" w:rsidP="007B1BDB">
      <w:pPr>
        <w:spacing w:line="360" w:lineRule="auto"/>
        <w:jc w:val="center"/>
        <w:rPr>
          <w:rFonts w:eastAsia="Times New Roman"/>
        </w:rPr>
      </w:pPr>
      <w:r>
        <w:rPr>
          <w:rFonts w:eastAsia="Times New Roman"/>
        </w:rPr>
        <w:t>S</w:t>
      </w:r>
      <w:r w:rsidR="003957BD">
        <w:rPr>
          <w:rFonts w:eastAsia="Times New Roman"/>
        </w:rPr>
        <w:t>h</w:t>
      </w:r>
      <w:r>
        <w:rPr>
          <w:rFonts w:eastAsia="Times New Roman"/>
        </w:rPr>
        <w:t>ova</w:t>
      </w:r>
      <w:r w:rsidR="003957BD">
        <w:rPr>
          <w:rFonts w:eastAsia="Times New Roman"/>
        </w:rPr>
        <w:t xml:space="preserve"> K</w:t>
      </w:r>
      <w:r>
        <w:rPr>
          <w:rFonts w:eastAsia="Times New Roman"/>
        </w:rPr>
        <w:t>anta Devkota</w:t>
      </w:r>
    </w:p>
    <w:p w14:paraId="422E1C51" w14:textId="17A56789" w:rsidR="00343903" w:rsidRPr="00343903" w:rsidRDefault="00343903" w:rsidP="007B1BDB">
      <w:pPr>
        <w:spacing w:line="360" w:lineRule="auto"/>
        <w:jc w:val="center"/>
        <w:rPr>
          <w:rFonts w:eastAsia="Times New Roman"/>
        </w:rPr>
      </w:pPr>
      <w:r w:rsidRPr="00343903">
        <w:rPr>
          <w:rFonts w:eastAsia="Times New Roman"/>
        </w:rPr>
        <w:t xml:space="preserve">Exam Roll No: </w:t>
      </w:r>
      <w:r w:rsidR="003957BD">
        <w:rPr>
          <w:rFonts w:eastAsia="Times New Roman"/>
        </w:rPr>
        <w:t>480622</w:t>
      </w:r>
    </w:p>
    <w:p w14:paraId="7E0123A4" w14:textId="00B7A2A2" w:rsidR="00343903" w:rsidRDefault="00343903" w:rsidP="007B1BDB">
      <w:pPr>
        <w:spacing w:line="360" w:lineRule="auto"/>
        <w:jc w:val="center"/>
        <w:rPr>
          <w:rFonts w:eastAsia="Times New Roman"/>
        </w:rPr>
      </w:pPr>
      <w:r w:rsidRPr="00343903">
        <w:rPr>
          <w:rFonts w:eastAsia="Times New Roman"/>
        </w:rPr>
        <w:t xml:space="preserve">TU Registration No: </w:t>
      </w:r>
      <w:r w:rsidR="003957BD">
        <w:rPr>
          <w:rFonts w:eastAsia="Times New Roman"/>
        </w:rPr>
        <w:t>5-1-48-2905-2002</w:t>
      </w:r>
    </w:p>
    <w:p w14:paraId="5159E8B5" w14:textId="738CE99F" w:rsidR="00343903" w:rsidRDefault="00343903" w:rsidP="007B1BDB">
      <w:pPr>
        <w:spacing w:line="360" w:lineRule="auto"/>
        <w:jc w:val="center"/>
        <w:rPr>
          <w:rFonts w:eastAsia="Times New Roman"/>
        </w:rPr>
      </w:pPr>
    </w:p>
    <w:p w14:paraId="7FEB6897" w14:textId="77777777" w:rsidR="00B0171D" w:rsidRPr="00343903" w:rsidRDefault="00B0171D" w:rsidP="007B1BDB">
      <w:pPr>
        <w:spacing w:line="360" w:lineRule="auto"/>
        <w:jc w:val="center"/>
        <w:rPr>
          <w:rFonts w:eastAsia="Times New Roman"/>
        </w:rPr>
      </w:pPr>
    </w:p>
    <w:p w14:paraId="0CC15114" w14:textId="37E60425" w:rsidR="00343903" w:rsidRPr="00343903" w:rsidRDefault="00343903" w:rsidP="007B1BDB">
      <w:pPr>
        <w:spacing w:line="360" w:lineRule="auto"/>
        <w:jc w:val="center"/>
        <w:rPr>
          <w:rFonts w:eastAsia="Times New Roman"/>
        </w:rPr>
      </w:pPr>
      <w:r w:rsidRPr="00343903">
        <w:rPr>
          <w:rFonts w:eastAsia="Times New Roman"/>
        </w:rPr>
        <w:t>A Graduate Research report submitted in partial fulfilment of the requirements</w:t>
      </w:r>
    </w:p>
    <w:p w14:paraId="6F502189" w14:textId="01414B90" w:rsidR="00343903" w:rsidRDefault="00343903" w:rsidP="007B1BDB">
      <w:pPr>
        <w:spacing w:line="360" w:lineRule="auto"/>
        <w:jc w:val="center"/>
        <w:rPr>
          <w:rFonts w:eastAsia="Times New Roman"/>
        </w:rPr>
      </w:pPr>
      <w:r w:rsidRPr="00343903">
        <w:rPr>
          <w:rFonts w:eastAsia="Times New Roman"/>
        </w:rPr>
        <w:t>for the degree of</w:t>
      </w:r>
    </w:p>
    <w:p w14:paraId="40FC84B1" w14:textId="051859C7" w:rsidR="00343903" w:rsidRDefault="00343903" w:rsidP="007B1BDB">
      <w:pPr>
        <w:spacing w:line="360" w:lineRule="auto"/>
        <w:jc w:val="center"/>
        <w:rPr>
          <w:rFonts w:eastAsia="Times New Roman"/>
        </w:rPr>
      </w:pPr>
    </w:p>
    <w:p w14:paraId="1238D095" w14:textId="77777777" w:rsidR="00B0171D" w:rsidRPr="00343903" w:rsidRDefault="00B0171D" w:rsidP="007B1BDB">
      <w:pPr>
        <w:spacing w:line="360" w:lineRule="auto"/>
        <w:jc w:val="center"/>
        <w:rPr>
          <w:rFonts w:eastAsia="Times New Roman"/>
        </w:rPr>
      </w:pPr>
    </w:p>
    <w:p w14:paraId="512CDDD2" w14:textId="28A69AD4" w:rsidR="00343903" w:rsidRDefault="00343903" w:rsidP="007B1BDB">
      <w:pPr>
        <w:spacing w:line="360" w:lineRule="auto"/>
        <w:jc w:val="center"/>
        <w:rPr>
          <w:rFonts w:eastAsia="Times New Roman"/>
        </w:rPr>
      </w:pPr>
      <w:r w:rsidRPr="00343903">
        <w:rPr>
          <w:rFonts w:eastAsia="Times New Roman"/>
        </w:rPr>
        <w:t xml:space="preserve">MASTER OF </w:t>
      </w:r>
      <w:r>
        <w:rPr>
          <w:rFonts w:eastAsia="Times New Roman"/>
        </w:rPr>
        <w:t xml:space="preserve">ARTS </w:t>
      </w:r>
      <w:r w:rsidRPr="00343903">
        <w:rPr>
          <w:rFonts w:eastAsia="Times New Roman"/>
        </w:rPr>
        <w:t>IN ECONOMICS</w:t>
      </w:r>
    </w:p>
    <w:p w14:paraId="1A8E816C" w14:textId="77777777" w:rsidR="00B0171D" w:rsidRPr="00343903" w:rsidRDefault="00B0171D" w:rsidP="007B1BDB">
      <w:pPr>
        <w:spacing w:line="360" w:lineRule="auto"/>
        <w:jc w:val="center"/>
        <w:rPr>
          <w:rFonts w:eastAsia="Times New Roman"/>
        </w:rPr>
      </w:pPr>
    </w:p>
    <w:p w14:paraId="1E88AC95" w14:textId="6807CDDF" w:rsidR="00343903" w:rsidRDefault="00343903" w:rsidP="007B1BDB">
      <w:pPr>
        <w:spacing w:line="360" w:lineRule="auto"/>
        <w:jc w:val="center"/>
        <w:rPr>
          <w:rFonts w:eastAsia="Times New Roman"/>
        </w:rPr>
      </w:pPr>
      <w:r w:rsidRPr="00343903">
        <w:rPr>
          <w:rFonts w:eastAsia="Times New Roman"/>
        </w:rPr>
        <w:t>at the</w:t>
      </w:r>
    </w:p>
    <w:p w14:paraId="0E71C25A" w14:textId="77777777" w:rsidR="00B0171D" w:rsidRDefault="00B0171D" w:rsidP="007B1BDB">
      <w:pPr>
        <w:spacing w:line="360" w:lineRule="auto"/>
        <w:jc w:val="center"/>
        <w:rPr>
          <w:rFonts w:eastAsia="Times New Roman"/>
        </w:rPr>
      </w:pPr>
    </w:p>
    <w:p w14:paraId="22CB3BA3" w14:textId="77777777" w:rsidR="00343903" w:rsidRDefault="00343903" w:rsidP="007B1BDB">
      <w:pPr>
        <w:spacing w:line="360" w:lineRule="auto"/>
        <w:jc w:val="center"/>
        <w:rPr>
          <w:rFonts w:eastAsia="Times New Roman"/>
        </w:rPr>
      </w:pPr>
      <w:r w:rsidRPr="00343903">
        <w:rPr>
          <w:rFonts w:eastAsia="Times New Roman"/>
        </w:rPr>
        <w:t>Prithvi Narayan Campus</w:t>
      </w:r>
    </w:p>
    <w:p w14:paraId="26B4167B" w14:textId="77777777" w:rsidR="00343903" w:rsidRDefault="00343903" w:rsidP="007B1BDB">
      <w:pPr>
        <w:spacing w:line="360" w:lineRule="auto"/>
        <w:jc w:val="center"/>
        <w:rPr>
          <w:rFonts w:eastAsia="Times New Roman"/>
        </w:rPr>
      </w:pPr>
      <w:r w:rsidRPr="00343903">
        <w:rPr>
          <w:rFonts w:eastAsia="Times New Roman"/>
        </w:rPr>
        <w:t>Faculty of Humanities and Social Sciences</w:t>
      </w:r>
    </w:p>
    <w:p w14:paraId="24AC4431" w14:textId="3D399E1C" w:rsidR="00343903" w:rsidRDefault="00DE4CA2" w:rsidP="007B1BDB">
      <w:pPr>
        <w:spacing w:line="360" w:lineRule="auto"/>
        <w:jc w:val="center"/>
        <w:rPr>
          <w:rFonts w:eastAsia="Times New Roman"/>
        </w:rPr>
      </w:pPr>
      <w:r w:rsidRPr="00DE4CA2">
        <w:rPr>
          <w:rFonts w:eastAsia="Times New Roman"/>
        </w:rPr>
        <w:t>Pokhara Nepal</w:t>
      </w:r>
    </w:p>
    <w:p w14:paraId="6673607A" w14:textId="77777777" w:rsidR="00B0171D" w:rsidRPr="00343903" w:rsidRDefault="00B0171D" w:rsidP="007B1BDB">
      <w:pPr>
        <w:spacing w:line="360" w:lineRule="auto"/>
        <w:jc w:val="center"/>
        <w:rPr>
          <w:rFonts w:eastAsia="Times New Roman"/>
        </w:rPr>
      </w:pPr>
    </w:p>
    <w:p w14:paraId="1F90A310" w14:textId="2A3ED962" w:rsidR="00343903" w:rsidRDefault="00343903" w:rsidP="007B1BDB">
      <w:pPr>
        <w:spacing w:line="360" w:lineRule="auto"/>
        <w:jc w:val="center"/>
        <w:rPr>
          <w:rFonts w:eastAsia="Times New Roman" w:cstheme="majorBidi"/>
          <w:b/>
          <w:szCs w:val="32"/>
        </w:rPr>
      </w:pPr>
      <w:r>
        <w:rPr>
          <w:rFonts w:eastAsia="Times New Roman"/>
        </w:rPr>
        <w:fldChar w:fldCharType="begin"/>
      </w:r>
      <w:r>
        <w:rPr>
          <w:rFonts w:eastAsia="Times New Roman"/>
        </w:rPr>
        <w:instrText xml:space="preserve"> DATE \@ "MMMM d, yyyy" </w:instrText>
      </w:r>
      <w:r>
        <w:rPr>
          <w:rFonts w:eastAsia="Times New Roman"/>
        </w:rPr>
        <w:fldChar w:fldCharType="separate"/>
      </w:r>
      <w:r w:rsidR="0014005F">
        <w:rPr>
          <w:rFonts w:eastAsia="Times New Roman"/>
          <w:noProof/>
        </w:rPr>
        <w:t>July 10, 2024</w:t>
      </w:r>
      <w:r>
        <w:rPr>
          <w:rFonts w:eastAsia="Times New Roman"/>
        </w:rPr>
        <w:fldChar w:fldCharType="end"/>
      </w:r>
      <w:r>
        <w:rPr>
          <w:rFonts w:eastAsia="Times New Roman"/>
        </w:rPr>
        <w:br w:type="page"/>
      </w:r>
    </w:p>
    <w:p w14:paraId="59DDCE00" w14:textId="77777777" w:rsidR="00FC6930" w:rsidRDefault="00FC6930" w:rsidP="007B1BDB">
      <w:pPr>
        <w:pStyle w:val="Heading1"/>
      </w:pPr>
      <w:bookmarkStart w:id="1" w:name="_Toc171485411"/>
      <w:r>
        <w:lastRenderedPageBreak/>
        <w:t>Recommendations</w:t>
      </w:r>
      <w:bookmarkEnd w:id="1"/>
    </w:p>
    <w:p w14:paraId="7621E92E" w14:textId="77777777" w:rsidR="00FC6930" w:rsidRDefault="00FC6930" w:rsidP="007B1BDB">
      <w:pPr>
        <w:spacing w:line="360" w:lineRule="auto"/>
      </w:pPr>
    </w:p>
    <w:p w14:paraId="06E67C2C" w14:textId="77777777" w:rsidR="00531D92" w:rsidRDefault="00531D92" w:rsidP="007B1BDB">
      <w:pPr>
        <w:spacing w:line="360" w:lineRule="auto"/>
      </w:pPr>
    </w:p>
    <w:p w14:paraId="29EA87E1" w14:textId="533667DE" w:rsidR="00531D92" w:rsidRDefault="00531D92" w:rsidP="007B1BDB">
      <w:pPr>
        <w:spacing w:line="360" w:lineRule="auto"/>
        <w:jc w:val="left"/>
      </w:pPr>
      <w:r>
        <w:br w:type="page"/>
      </w:r>
    </w:p>
    <w:p w14:paraId="693B9F37" w14:textId="6EF329E2" w:rsidR="00531D92" w:rsidRDefault="00531D92" w:rsidP="007B1BDB">
      <w:pPr>
        <w:pStyle w:val="Heading1"/>
      </w:pPr>
      <w:bookmarkStart w:id="2" w:name="_Toc171485412"/>
      <w:r>
        <w:lastRenderedPageBreak/>
        <w:t>Certification</w:t>
      </w:r>
      <w:bookmarkEnd w:id="2"/>
    </w:p>
    <w:p w14:paraId="019AC76E" w14:textId="77777777" w:rsidR="00531D92" w:rsidRDefault="00531D92" w:rsidP="007B1BDB">
      <w:pPr>
        <w:spacing w:line="360" w:lineRule="auto"/>
        <w:jc w:val="left"/>
        <w:rPr>
          <w:rFonts w:eastAsia="Times New Roman" w:cstheme="majorBidi"/>
          <w:b/>
          <w:color w:val="auto"/>
          <w:szCs w:val="32"/>
        </w:rPr>
      </w:pPr>
      <w:r>
        <w:br w:type="page"/>
      </w:r>
    </w:p>
    <w:p w14:paraId="63EF5094" w14:textId="346AFD8F" w:rsidR="00531D92" w:rsidRDefault="00531D92" w:rsidP="007B1BDB">
      <w:pPr>
        <w:pStyle w:val="Heading1"/>
      </w:pPr>
      <w:bookmarkStart w:id="3" w:name="_Toc171485413"/>
      <w:r>
        <w:lastRenderedPageBreak/>
        <w:t>Declaration of Authenticity</w:t>
      </w:r>
      <w:bookmarkEnd w:id="3"/>
    </w:p>
    <w:p w14:paraId="078E2421" w14:textId="32696CA4" w:rsidR="00531D92" w:rsidRDefault="00531D92" w:rsidP="007B1BDB">
      <w:pPr>
        <w:spacing w:before="240" w:line="360" w:lineRule="auto"/>
      </w:pPr>
      <w:r>
        <w:t xml:space="preserve">I, </w:t>
      </w:r>
      <w:proofErr w:type="spellStart"/>
      <w:r>
        <w:t>Shovakanta</w:t>
      </w:r>
      <w:proofErr w:type="spellEnd"/>
      <w:r>
        <w:t xml:space="preserve"> Devkota, declare that this thesis is my original work and that it has been fully and specifically acknowledged wherever adapted from other sources. I also understand that if any time it is shown that I have significantly misrepresented material presented to PN</w:t>
      </w:r>
      <w:r w:rsidRPr="00531D92">
        <w:t xml:space="preserve"> Campus</w:t>
      </w:r>
      <w:r>
        <w:t>, any credits awarded to me based on that material may be revoked.</w:t>
      </w:r>
    </w:p>
    <w:p w14:paraId="01474E3C" w14:textId="2791045A" w:rsidR="00531D92" w:rsidRDefault="00531D92" w:rsidP="007B1BDB">
      <w:pPr>
        <w:spacing w:before="240" w:line="360" w:lineRule="auto"/>
      </w:pPr>
    </w:p>
    <w:p w14:paraId="0160BF27" w14:textId="7791DA99" w:rsidR="00531D92" w:rsidRDefault="00531D92" w:rsidP="007B1BDB">
      <w:pPr>
        <w:spacing w:before="240" w:line="360" w:lineRule="auto"/>
      </w:pPr>
    </w:p>
    <w:p w14:paraId="2883433B" w14:textId="77777777" w:rsidR="00531D92" w:rsidRDefault="00531D92" w:rsidP="007B1BDB">
      <w:pPr>
        <w:spacing w:before="240" w:line="360" w:lineRule="auto"/>
      </w:pPr>
      <w:r>
        <w:t xml:space="preserve">Signature </w:t>
      </w:r>
    </w:p>
    <w:p w14:paraId="4EB6F983" w14:textId="23FAF3F9" w:rsidR="00531D92" w:rsidRDefault="00531D92" w:rsidP="007B1BDB">
      <w:pPr>
        <w:spacing w:before="240" w:line="360" w:lineRule="auto"/>
      </w:pPr>
      <w:r>
        <w:t xml:space="preserve">Name: </w:t>
      </w:r>
      <w:r w:rsidR="007631DF" w:rsidRPr="007631DF">
        <w:t>Shova Kanta Devkota</w:t>
      </w:r>
    </w:p>
    <w:p w14:paraId="317C1436" w14:textId="66ABCF4A" w:rsidR="00531D92" w:rsidRPr="00B0171D" w:rsidRDefault="00531D92" w:rsidP="007B1BDB">
      <w:pPr>
        <w:spacing w:before="240" w:line="360" w:lineRule="auto"/>
        <w:rPr>
          <w:u w:val="single"/>
        </w:rPr>
      </w:pPr>
      <w:proofErr w:type="spellStart"/>
      <w:r>
        <w:t>Date:</w:t>
      </w:r>
      <w:r w:rsidR="00B0171D" w:rsidRPr="00B0171D">
        <w:fldChar w:fldCharType="begin"/>
      </w:r>
      <w:r w:rsidR="00B0171D" w:rsidRPr="00B0171D">
        <w:instrText xml:space="preserve"> DATE \@ "MMMM d, yyyy" </w:instrText>
      </w:r>
      <w:r w:rsidR="00B0171D" w:rsidRPr="00B0171D">
        <w:fldChar w:fldCharType="separate"/>
      </w:r>
      <w:r w:rsidR="0014005F">
        <w:rPr>
          <w:noProof/>
        </w:rPr>
        <w:t>July</w:t>
      </w:r>
      <w:proofErr w:type="spellEnd"/>
      <w:r w:rsidR="0014005F">
        <w:rPr>
          <w:noProof/>
        </w:rPr>
        <w:t xml:space="preserve"> 10, 2024</w:t>
      </w:r>
      <w:r w:rsidR="00B0171D" w:rsidRPr="00B0171D">
        <w:fldChar w:fldCharType="end"/>
      </w:r>
    </w:p>
    <w:p w14:paraId="2E9B82AA" w14:textId="77777777" w:rsidR="00531D92" w:rsidRDefault="00531D92" w:rsidP="007B1BDB">
      <w:pPr>
        <w:spacing w:line="360" w:lineRule="auto"/>
        <w:jc w:val="left"/>
        <w:rPr>
          <w:rFonts w:eastAsia="Times New Roman" w:cstheme="majorBidi"/>
          <w:b/>
          <w:color w:val="auto"/>
          <w:szCs w:val="32"/>
        </w:rPr>
      </w:pPr>
      <w:r>
        <w:br w:type="page"/>
      </w:r>
    </w:p>
    <w:p w14:paraId="762544AB" w14:textId="77777777" w:rsidR="00531D92" w:rsidRDefault="00531D92" w:rsidP="007B1BDB">
      <w:pPr>
        <w:pStyle w:val="Heading1"/>
      </w:pPr>
      <w:bookmarkStart w:id="4" w:name="_Toc171485414"/>
      <w:r w:rsidRPr="00531D92">
        <w:lastRenderedPageBreak/>
        <w:t>Acknowledgements</w:t>
      </w:r>
      <w:bookmarkEnd w:id="4"/>
    </w:p>
    <w:p w14:paraId="1CD5FBAE" w14:textId="77777777" w:rsidR="00DE4CA2" w:rsidRDefault="00DE4CA2" w:rsidP="007B1BDB">
      <w:pPr>
        <w:spacing w:line="360" w:lineRule="auto"/>
      </w:pPr>
      <w:r>
        <w:t xml:space="preserve">I would like to express my deepest gratitude to my supervisor, Mr. Dipendra </w:t>
      </w:r>
      <w:proofErr w:type="spellStart"/>
      <w:r>
        <w:t>Bastakoti</w:t>
      </w:r>
      <w:proofErr w:type="spellEnd"/>
      <w:r>
        <w:t>, Lecturer at the Department of Economics, Prithvi Narayan Campus, for his invaluable guidance, support, and encouragement throughout the course of this research. His insightful suggestions and constant motivation have been instrumental in shaping this thesis.</w:t>
      </w:r>
    </w:p>
    <w:p w14:paraId="212DE1DB" w14:textId="77777777" w:rsidR="00DE4CA2" w:rsidRDefault="00DE4CA2" w:rsidP="007B1BDB">
      <w:pPr>
        <w:spacing w:line="360" w:lineRule="auto"/>
      </w:pPr>
      <w:r>
        <w:t>I am also grateful to the faculty members and staff of the Department of Economics at Prithvi Narayan Campus for their assistance and cooperation during my study. Their contributions have greatly facilitated the completion of this work.</w:t>
      </w:r>
    </w:p>
    <w:p w14:paraId="0A49A47C" w14:textId="77777777" w:rsidR="00DE4CA2" w:rsidRDefault="00DE4CA2" w:rsidP="007B1BDB">
      <w:pPr>
        <w:spacing w:line="360" w:lineRule="auto"/>
      </w:pPr>
      <w:r>
        <w:t xml:space="preserve">I extend my heartfelt thanks to the residents of Arjun </w:t>
      </w:r>
      <w:proofErr w:type="spellStart"/>
      <w:r>
        <w:t>Chaupari</w:t>
      </w:r>
      <w:proofErr w:type="spellEnd"/>
      <w:r>
        <w:t xml:space="preserve"> Rural Municipality for their willingness to participate in this study. Without their cooperation and valuable information, this research would not have been possible.</w:t>
      </w:r>
    </w:p>
    <w:p w14:paraId="683C108A" w14:textId="77777777" w:rsidR="00DE4CA2" w:rsidRDefault="00DE4CA2" w:rsidP="007B1BDB">
      <w:pPr>
        <w:spacing w:line="360" w:lineRule="auto"/>
      </w:pPr>
      <w:r>
        <w:t>I would like to acknowledge the support of my family and friends who have always been there for me, providing emotional support and understanding throughout this journey.</w:t>
      </w:r>
    </w:p>
    <w:p w14:paraId="3529F38E" w14:textId="122B9D0F" w:rsidR="00531D92" w:rsidRDefault="00DE4CA2" w:rsidP="007B1BDB">
      <w:pPr>
        <w:spacing w:line="360" w:lineRule="auto"/>
      </w:pPr>
      <w:r>
        <w:t>Finally, I would like to thank everyone who has directly or indirectly contributed to the successful completion of this thesis. Your support and encouragement have been invaluable to me. Thank you all.</w:t>
      </w:r>
    </w:p>
    <w:p w14:paraId="6D9714AA" w14:textId="54B87728" w:rsidR="00DE4CA2" w:rsidRDefault="00DE4CA2" w:rsidP="007B1BDB">
      <w:pPr>
        <w:spacing w:line="360" w:lineRule="auto"/>
        <w:jc w:val="left"/>
      </w:pPr>
      <w:r>
        <w:br w:type="page"/>
      </w:r>
    </w:p>
    <w:sdt>
      <w:sdtPr>
        <w:rPr>
          <w:rFonts w:ascii="Times New Roman" w:eastAsiaTheme="minorHAnsi" w:hAnsi="Times New Roman" w:cstheme="minorBidi"/>
          <w:color w:val="000000" w:themeColor="text1"/>
          <w:sz w:val="24"/>
          <w:szCs w:val="22"/>
        </w:rPr>
        <w:id w:val="-4982693"/>
        <w:docPartObj>
          <w:docPartGallery w:val="Table of Contents"/>
          <w:docPartUnique/>
        </w:docPartObj>
      </w:sdtPr>
      <w:sdtEndPr>
        <w:rPr>
          <w:b/>
          <w:bCs/>
          <w:noProof/>
        </w:rPr>
      </w:sdtEndPr>
      <w:sdtContent>
        <w:p w14:paraId="23B2E521" w14:textId="7FA0162A" w:rsidR="00531D92" w:rsidRPr="00C239CC" w:rsidRDefault="00531D92" w:rsidP="00A859E5">
          <w:pPr>
            <w:pStyle w:val="TOCHeading"/>
            <w:spacing w:line="360" w:lineRule="auto"/>
            <w:jc w:val="center"/>
            <w:rPr>
              <w:rFonts w:ascii="Times New Roman" w:hAnsi="Times New Roman" w:cs="Times New Roman"/>
              <w:b/>
              <w:bCs/>
              <w:color w:val="000000" w:themeColor="text1"/>
              <w:sz w:val="24"/>
              <w:szCs w:val="24"/>
            </w:rPr>
          </w:pPr>
          <w:r w:rsidRPr="00C239CC">
            <w:rPr>
              <w:rFonts w:ascii="Times New Roman" w:hAnsi="Times New Roman" w:cs="Times New Roman"/>
              <w:b/>
              <w:bCs/>
              <w:color w:val="000000" w:themeColor="text1"/>
              <w:sz w:val="24"/>
              <w:szCs w:val="24"/>
            </w:rPr>
            <w:t>Table of Contents</w:t>
          </w:r>
        </w:p>
        <w:p w14:paraId="47E5C2DF" w14:textId="59303337" w:rsidR="00A859E5" w:rsidRDefault="00531D92" w:rsidP="00A859E5">
          <w:pPr>
            <w:pStyle w:val="TOC1"/>
            <w:tabs>
              <w:tab w:val="right" w:leader="dot" w:pos="8296"/>
            </w:tabs>
            <w:spacing w:line="360" w:lineRule="auto"/>
            <w:rPr>
              <w:rFonts w:asciiTheme="minorHAnsi" w:eastAsiaTheme="minorEastAsia" w:hAnsiTheme="minorHAnsi"/>
              <w:noProof/>
              <w:color w:val="auto"/>
              <w:sz w:val="22"/>
            </w:rPr>
          </w:pPr>
          <w:r>
            <w:fldChar w:fldCharType="begin"/>
          </w:r>
          <w:r>
            <w:instrText xml:space="preserve"> TOC \o "1-3" \h \z \u </w:instrText>
          </w:r>
          <w:r>
            <w:fldChar w:fldCharType="separate"/>
          </w:r>
          <w:hyperlink r:id="rId8" w:anchor="_Toc171485410" w:history="1">
            <w:r w:rsidR="00A859E5" w:rsidRPr="002A2ED4">
              <w:rPr>
                <w:rStyle w:val="Hyperlink"/>
                <w:noProof/>
              </w:rPr>
              <w:t>Title page of the GRP</w:t>
            </w:r>
            <w:r w:rsidR="00A859E5">
              <w:rPr>
                <w:noProof/>
                <w:webHidden/>
              </w:rPr>
              <w:tab/>
            </w:r>
            <w:r w:rsidR="00A859E5">
              <w:rPr>
                <w:noProof/>
                <w:webHidden/>
              </w:rPr>
              <w:fldChar w:fldCharType="begin"/>
            </w:r>
            <w:r w:rsidR="00A859E5">
              <w:rPr>
                <w:noProof/>
                <w:webHidden/>
              </w:rPr>
              <w:instrText xml:space="preserve"> PAGEREF _Toc171485410 \h </w:instrText>
            </w:r>
            <w:r w:rsidR="00A859E5">
              <w:rPr>
                <w:noProof/>
                <w:webHidden/>
              </w:rPr>
            </w:r>
            <w:r w:rsidR="00A859E5">
              <w:rPr>
                <w:noProof/>
                <w:webHidden/>
              </w:rPr>
              <w:fldChar w:fldCharType="separate"/>
            </w:r>
            <w:r w:rsidR="00721E9F">
              <w:rPr>
                <w:noProof/>
                <w:webHidden/>
              </w:rPr>
              <w:t>i</w:t>
            </w:r>
            <w:r w:rsidR="00A859E5">
              <w:rPr>
                <w:noProof/>
                <w:webHidden/>
              </w:rPr>
              <w:fldChar w:fldCharType="end"/>
            </w:r>
          </w:hyperlink>
        </w:p>
        <w:p w14:paraId="5471CDE9" w14:textId="3F28B428"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11" w:history="1">
            <w:r w:rsidR="00A859E5" w:rsidRPr="002A2ED4">
              <w:rPr>
                <w:rStyle w:val="Hyperlink"/>
                <w:noProof/>
              </w:rPr>
              <w:t>Recommendations</w:t>
            </w:r>
            <w:r w:rsidR="00A859E5">
              <w:rPr>
                <w:noProof/>
                <w:webHidden/>
              </w:rPr>
              <w:tab/>
            </w:r>
            <w:r w:rsidR="00A859E5">
              <w:rPr>
                <w:noProof/>
                <w:webHidden/>
              </w:rPr>
              <w:fldChar w:fldCharType="begin"/>
            </w:r>
            <w:r w:rsidR="00A859E5">
              <w:rPr>
                <w:noProof/>
                <w:webHidden/>
              </w:rPr>
              <w:instrText xml:space="preserve"> PAGEREF _Toc171485411 \h </w:instrText>
            </w:r>
            <w:r w:rsidR="00A859E5">
              <w:rPr>
                <w:noProof/>
                <w:webHidden/>
              </w:rPr>
            </w:r>
            <w:r w:rsidR="00A859E5">
              <w:rPr>
                <w:noProof/>
                <w:webHidden/>
              </w:rPr>
              <w:fldChar w:fldCharType="separate"/>
            </w:r>
            <w:r w:rsidR="00721E9F">
              <w:rPr>
                <w:noProof/>
                <w:webHidden/>
              </w:rPr>
              <w:t>ii</w:t>
            </w:r>
            <w:r w:rsidR="00A859E5">
              <w:rPr>
                <w:noProof/>
                <w:webHidden/>
              </w:rPr>
              <w:fldChar w:fldCharType="end"/>
            </w:r>
          </w:hyperlink>
        </w:p>
        <w:p w14:paraId="2CF548E0" w14:textId="2C3EC14C"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12" w:history="1">
            <w:r w:rsidR="00A859E5" w:rsidRPr="002A2ED4">
              <w:rPr>
                <w:rStyle w:val="Hyperlink"/>
                <w:noProof/>
              </w:rPr>
              <w:t>Certification</w:t>
            </w:r>
            <w:r w:rsidR="00A859E5">
              <w:rPr>
                <w:noProof/>
                <w:webHidden/>
              </w:rPr>
              <w:tab/>
            </w:r>
            <w:r w:rsidR="00A859E5">
              <w:rPr>
                <w:noProof/>
                <w:webHidden/>
              </w:rPr>
              <w:fldChar w:fldCharType="begin"/>
            </w:r>
            <w:r w:rsidR="00A859E5">
              <w:rPr>
                <w:noProof/>
                <w:webHidden/>
              </w:rPr>
              <w:instrText xml:space="preserve"> PAGEREF _Toc171485412 \h </w:instrText>
            </w:r>
            <w:r w:rsidR="00A859E5">
              <w:rPr>
                <w:noProof/>
                <w:webHidden/>
              </w:rPr>
            </w:r>
            <w:r w:rsidR="00A859E5">
              <w:rPr>
                <w:noProof/>
                <w:webHidden/>
              </w:rPr>
              <w:fldChar w:fldCharType="separate"/>
            </w:r>
            <w:r w:rsidR="00721E9F">
              <w:rPr>
                <w:noProof/>
                <w:webHidden/>
              </w:rPr>
              <w:t>iii</w:t>
            </w:r>
            <w:r w:rsidR="00A859E5">
              <w:rPr>
                <w:noProof/>
                <w:webHidden/>
              </w:rPr>
              <w:fldChar w:fldCharType="end"/>
            </w:r>
          </w:hyperlink>
        </w:p>
        <w:p w14:paraId="58F97C0F" w14:textId="1C24664E"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13" w:history="1">
            <w:r w:rsidR="00A859E5" w:rsidRPr="002A2ED4">
              <w:rPr>
                <w:rStyle w:val="Hyperlink"/>
                <w:noProof/>
              </w:rPr>
              <w:t>Declaration of Authenticity</w:t>
            </w:r>
            <w:r w:rsidR="00A859E5">
              <w:rPr>
                <w:noProof/>
                <w:webHidden/>
              </w:rPr>
              <w:tab/>
            </w:r>
            <w:r w:rsidR="00A859E5">
              <w:rPr>
                <w:noProof/>
                <w:webHidden/>
              </w:rPr>
              <w:fldChar w:fldCharType="begin"/>
            </w:r>
            <w:r w:rsidR="00A859E5">
              <w:rPr>
                <w:noProof/>
                <w:webHidden/>
              </w:rPr>
              <w:instrText xml:space="preserve"> PAGEREF _Toc171485413 \h </w:instrText>
            </w:r>
            <w:r w:rsidR="00A859E5">
              <w:rPr>
                <w:noProof/>
                <w:webHidden/>
              </w:rPr>
            </w:r>
            <w:r w:rsidR="00A859E5">
              <w:rPr>
                <w:noProof/>
                <w:webHidden/>
              </w:rPr>
              <w:fldChar w:fldCharType="separate"/>
            </w:r>
            <w:r w:rsidR="00721E9F">
              <w:rPr>
                <w:noProof/>
                <w:webHidden/>
              </w:rPr>
              <w:t>iv</w:t>
            </w:r>
            <w:r w:rsidR="00A859E5">
              <w:rPr>
                <w:noProof/>
                <w:webHidden/>
              </w:rPr>
              <w:fldChar w:fldCharType="end"/>
            </w:r>
          </w:hyperlink>
        </w:p>
        <w:p w14:paraId="76193E9C" w14:textId="278A1CF9"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14" w:history="1">
            <w:r w:rsidR="00A859E5" w:rsidRPr="002A2ED4">
              <w:rPr>
                <w:rStyle w:val="Hyperlink"/>
                <w:noProof/>
              </w:rPr>
              <w:t>Acknowledgements</w:t>
            </w:r>
            <w:r w:rsidR="00A859E5">
              <w:rPr>
                <w:noProof/>
                <w:webHidden/>
              </w:rPr>
              <w:tab/>
            </w:r>
            <w:r w:rsidR="00A859E5">
              <w:rPr>
                <w:noProof/>
                <w:webHidden/>
              </w:rPr>
              <w:fldChar w:fldCharType="begin"/>
            </w:r>
            <w:r w:rsidR="00A859E5">
              <w:rPr>
                <w:noProof/>
                <w:webHidden/>
              </w:rPr>
              <w:instrText xml:space="preserve"> PAGEREF _Toc171485414 \h </w:instrText>
            </w:r>
            <w:r w:rsidR="00A859E5">
              <w:rPr>
                <w:noProof/>
                <w:webHidden/>
              </w:rPr>
            </w:r>
            <w:r w:rsidR="00A859E5">
              <w:rPr>
                <w:noProof/>
                <w:webHidden/>
              </w:rPr>
              <w:fldChar w:fldCharType="separate"/>
            </w:r>
            <w:r w:rsidR="00721E9F">
              <w:rPr>
                <w:noProof/>
                <w:webHidden/>
              </w:rPr>
              <w:t>v</w:t>
            </w:r>
            <w:r w:rsidR="00A859E5">
              <w:rPr>
                <w:noProof/>
                <w:webHidden/>
              </w:rPr>
              <w:fldChar w:fldCharType="end"/>
            </w:r>
          </w:hyperlink>
        </w:p>
        <w:p w14:paraId="4183EDD8" w14:textId="51289BA1"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15" w:history="1">
            <w:r w:rsidR="00A859E5" w:rsidRPr="002A2ED4">
              <w:rPr>
                <w:rStyle w:val="Hyperlink"/>
                <w:noProof/>
              </w:rPr>
              <w:t>CHAPTER 1 INTRODUCTION</w:t>
            </w:r>
            <w:r w:rsidR="00A859E5">
              <w:rPr>
                <w:noProof/>
                <w:webHidden/>
              </w:rPr>
              <w:tab/>
            </w:r>
            <w:r w:rsidR="00A859E5">
              <w:rPr>
                <w:noProof/>
                <w:webHidden/>
              </w:rPr>
              <w:fldChar w:fldCharType="begin"/>
            </w:r>
            <w:r w:rsidR="00A859E5">
              <w:rPr>
                <w:noProof/>
                <w:webHidden/>
              </w:rPr>
              <w:instrText xml:space="preserve"> PAGEREF _Toc171485415 \h </w:instrText>
            </w:r>
            <w:r w:rsidR="00A859E5">
              <w:rPr>
                <w:noProof/>
                <w:webHidden/>
              </w:rPr>
            </w:r>
            <w:r w:rsidR="00A859E5">
              <w:rPr>
                <w:noProof/>
                <w:webHidden/>
              </w:rPr>
              <w:fldChar w:fldCharType="separate"/>
            </w:r>
            <w:r w:rsidR="00721E9F">
              <w:rPr>
                <w:noProof/>
                <w:webHidden/>
              </w:rPr>
              <w:t>1</w:t>
            </w:r>
            <w:r w:rsidR="00A859E5">
              <w:rPr>
                <w:noProof/>
                <w:webHidden/>
              </w:rPr>
              <w:fldChar w:fldCharType="end"/>
            </w:r>
          </w:hyperlink>
        </w:p>
        <w:p w14:paraId="7D484504" w14:textId="4FE04B90"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16" w:history="1">
            <w:r w:rsidR="00A859E5" w:rsidRPr="002A2ED4">
              <w:rPr>
                <w:rStyle w:val="Hyperlink"/>
                <w:rFonts w:eastAsia="Times New Roman"/>
                <w:noProof/>
              </w:rPr>
              <w:t>1.1 Background of the Study</w:t>
            </w:r>
            <w:r w:rsidR="00A859E5">
              <w:rPr>
                <w:noProof/>
                <w:webHidden/>
              </w:rPr>
              <w:tab/>
            </w:r>
            <w:r w:rsidR="00A859E5">
              <w:rPr>
                <w:noProof/>
                <w:webHidden/>
              </w:rPr>
              <w:fldChar w:fldCharType="begin"/>
            </w:r>
            <w:r w:rsidR="00A859E5">
              <w:rPr>
                <w:noProof/>
                <w:webHidden/>
              </w:rPr>
              <w:instrText xml:space="preserve"> PAGEREF _Toc171485416 \h </w:instrText>
            </w:r>
            <w:r w:rsidR="00A859E5">
              <w:rPr>
                <w:noProof/>
                <w:webHidden/>
              </w:rPr>
            </w:r>
            <w:r w:rsidR="00A859E5">
              <w:rPr>
                <w:noProof/>
                <w:webHidden/>
              </w:rPr>
              <w:fldChar w:fldCharType="separate"/>
            </w:r>
            <w:r w:rsidR="00721E9F">
              <w:rPr>
                <w:noProof/>
                <w:webHidden/>
              </w:rPr>
              <w:t>1</w:t>
            </w:r>
            <w:r w:rsidR="00A859E5">
              <w:rPr>
                <w:noProof/>
                <w:webHidden/>
              </w:rPr>
              <w:fldChar w:fldCharType="end"/>
            </w:r>
          </w:hyperlink>
        </w:p>
        <w:p w14:paraId="588CAA94" w14:textId="56B8BEF5"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17" w:history="1">
            <w:r w:rsidR="00A859E5" w:rsidRPr="002A2ED4">
              <w:rPr>
                <w:rStyle w:val="Hyperlink"/>
                <w:rFonts w:eastAsia="Times New Roman"/>
                <w:noProof/>
              </w:rPr>
              <w:t>1.2 Statement of the Problem</w:t>
            </w:r>
            <w:r w:rsidR="00A859E5">
              <w:rPr>
                <w:noProof/>
                <w:webHidden/>
              </w:rPr>
              <w:tab/>
            </w:r>
            <w:r w:rsidR="00A859E5">
              <w:rPr>
                <w:noProof/>
                <w:webHidden/>
              </w:rPr>
              <w:fldChar w:fldCharType="begin"/>
            </w:r>
            <w:r w:rsidR="00A859E5">
              <w:rPr>
                <w:noProof/>
                <w:webHidden/>
              </w:rPr>
              <w:instrText xml:space="preserve"> PAGEREF _Toc171485417 \h </w:instrText>
            </w:r>
            <w:r w:rsidR="00A859E5">
              <w:rPr>
                <w:noProof/>
                <w:webHidden/>
              </w:rPr>
            </w:r>
            <w:r w:rsidR="00A859E5">
              <w:rPr>
                <w:noProof/>
                <w:webHidden/>
              </w:rPr>
              <w:fldChar w:fldCharType="separate"/>
            </w:r>
            <w:r w:rsidR="00721E9F">
              <w:rPr>
                <w:noProof/>
                <w:webHidden/>
              </w:rPr>
              <w:t>2</w:t>
            </w:r>
            <w:r w:rsidR="00A859E5">
              <w:rPr>
                <w:noProof/>
                <w:webHidden/>
              </w:rPr>
              <w:fldChar w:fldCharType="end"/>
            </w:r>
          </w:hyperlink>
        </w:p>
        <w:p w14:paraId="2778E0FC" w14:textId="19487B73"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18" w:history="1">
            <w:r w:rsidR="00A859E5" w:rsidRPr="002A2ED4">
              <w:rPr>
                <w:rStyle w:val="Hyperlink"/>
                <w:rFonts w:eastAsia="Times New Roman"/>
                <w:noProof/>
              </w:rPr>
              <w:t>1.3 Objectives of the Study</w:t>
            </w:r>
            <w:r w:rsidR="00A859E5">
              <w:rPr>
                <w:noProof/>
                <w:webHidden/>
              </w:rPr>
              <w:tab/>
            </w:r>
            <w:r w:rsidR="00A859E5">
              <w:rPr>
                <w:noProof/>
                <w:webHidden/>
              </w:rPr>
              <w:fldChar w:fldCharType="begin"/>
            </w:r>
            <w:r w:rsidR="00A859E5">
              <w:rPr>
                <w:noProof/>
                <w:webHidden/>
              </w:rPr>
              <w:instrText xml:space="preserve"> PAGEREF _Toc171485418 \h </w:instrText>
            </w:r>
            <w:r w:rsidR="00A859E5">
              <w:rPr>
                <w:noProof/>
                <w:webHidden/>
              </w:rPr>
            </w:r>
            <w:r w:rsidR="00A859E5">
              <w:rPr>
                <w:noProof/>
                <w:webHidden/>
              </w:rPr>
              <w:fldChar w:fldCharType="separate"/>
            </w:r>
            <w:r w:rsidR="00721E9F">
              <w:rPr>
                <w:noProof/>
                <w:webHidden/>
              </w:rPr>
              <w:t>3</w:t>
            </w:r>
            <w:r w:rsidR="00A859E5">
              <w:rPr>
                <w:noProof/>
                <w:webHidden/>
              </w:rPr>
              <w:fldChar w:fldCharType="end"/>
            </w:r>
          </w:hyperlink>
        </w:p>
        <w:p w14:paraId="635BE8A1" w14:textId="0775BD4F"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19" w:history="1">
            <w:r w:rsidR="00A859E5" w:rsidRPr="002A2ED4">
              <w:rPr>
                <w:rStyle w:val="Hyperlink"/>
                <w:rFonts w:eastAsia="Times New Roman"/>
                <w:noProof/>
              </w:rPr>
              <w:t>1.4 Significance of the Study</w:t>
            </w:r>
            <w:r w:rsidR="00A859E5">
              <w:rPr>
                <w:noProof/>
                <w:webHidden/>
              </w:rPr>
              <w:tab/>
            </w:r>
            <w:r w:rsidR="00A859E5">
              <w:rPr>
                <w:noProof/>
                <w:webHidden/>
              </w:rPr>
              <w:fldChar w:fldCharType="begin"/>
            </w:r>
            <w:r w:rsidR="00A859E5">
              <w:rPr>
                <w:noProof/>
                <w:webHidden/>
              </w:rPr>
              <w:instrText xml:space="preserve"> PAGEREF _Toc171485419 \h </w:instrText>
            </w:r>
            <w:r w:rsidR="00A859E5">
              <w:rPr>
                <w:noProof/>
                <w:webHidden/>
              </w:rPr>
            </w:r>
            <w:r w:rsidR="00A859E5">
              <w:rPr>
                <w:noProof/>
                <w:webHidden/>
              </w:rPr>
              <w:fldChar w:fldCharType="separate"/>
            </w:r>
            <w:r w:rsidR="00721E9F">
              <w:rPr>
                <w:noProof/>
                <w:webHidden/>
              </w:rPr>
              <w:t>3</w:t>
            </w:r>
            <w:r w:rsidR="00A859E5">
              <w:rPr>
                <w:noProof/>
                <w:webHidden/>
              </w:rPr>
              <w:fldChar w:fldCharType="end"/>
            </w:r>
          </w:hyperlink>
        </w:p>
        <w:p w14:paraId="57F85475" w14:textId="606EAE4C"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20" w:history="1">
            <w:r w:rsidR="00A859E5" w:rsidRPr="002A2ED4">
              <w:rPr>
                <w:rStyle w:val="Hyperlink"/>
                <w:rFonts w:eastAsia="Times New Roman"/>
                <w:noProof/>
              </w:rPr>
              <w:t>1.5 Limitations of the Study</w:t>
            </w:r>
            <w:r w:rsidR="00A859E5">
              <w:rPr>
                <w:noProof/>
                <w:webHidden/>
              </w:rPr>
              <w:tab/>
            </w:r>
            <w:r w:rsidR="00A859E5">
              <w:rPr>
                <w:noProof/>
                <w:webHidden/>
              </w:rPr>
              <w:fldChar w:fldCharType="begin"/>
            </w:r>
            <w:r w:rsidR="00A859E5">
              <w:rPr>
                <w:noProof/>
                <w:webHidden/>
              </w:rPr>
              <w:instrText xml:space="preserve"> PAGEREF _Toc171485420 \h </w:instrText>
            </w:r>
            <w:r w:rsidR="00A859E5">
              <w:rPr>
                <w:noProof/>
                <w:webHidden/>
              </w:rPr>
            </w:r>
            <w:r w:rsidR="00A859E5">
              <w:rPr>
                <w:noProof/>
                <w:webHidden/>
              </w:rPr>
              <w:fldChar w:fldCharType="separate"/>
            </w:r>
            <w:r w:rsidR="00721E9F">
              <w:rPr>
                <w:noProof/>
                <w:webHidden/>
              </w:rPr>
              <w:t>4</w:t>
            </w:r>
            <w:r w:rsidR="00A859E5">
              <w:rPr>
                <w:noProof/>
                <w:webHidden/>
              </w:rPr>
              <w:fldChar w:fldCharType="end"/>
            </w:r>
          </w:hyperlink>
        </w:p>
        <w:p w14:paraId="6CCD02E3" w14:textId="4D33FEFB"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21" w:history="1">
            <w:r w:rsidR="00A859E5" w:rsidRPr="002A2ED4">
              <w:rPr>
                <w:rStyle w:val="Hyperlink"/>
                <w:rFonts w:eastAsia="Times New Roman"/>
                <w:noProof/>
              </w:rPr>
              <w:t>1.6 Organization of the Study</w:t>
            </w:r>
            <w:r w:rsidR="00A859E5">
              <w:rPr>
                <w:noProof/>
                <w:webHidden/>
              </w:rPr>
              <w:tab/>
            </w:r>
            <w:r w:rsidR="00A859E5">
              <w:rPr>
                <w:noProof/>
                <w:webHidden/>
              </w:rPr>
              <w:fldChar w:fldCharType="begin"/>
            </w:r>
            <w:r w:rsidR="00A859E5">
              <w:rPr>
                <w:noProof/>
                <w:webHidden/>
              </w:rPr>
              <w:instrText xml:space="preserve"> PAGEREF _Toc171485421 \h </w:instrText>
            </w:r>
            <w:r w:rsidR="00A859E5">
              <w:rPr>
                <w:noProof/>
                <w:webHidden/>
              </w:rPr>
            </w:r>
            <w:r w:rsidR="00A859E5">
              <w:rPr>
                <w:noProof/>
                <w:webHidden/>
              </w:rPr>
              <w:fldChar w:fldCharType="separate"/>
            </w:r>
            <w:r w:rsidR="00721E9F">
              <w:rPr>
                <w:noProof/>
                <w:webHidden/>
              </w:rPr>
              <w:t>4</w:t>
            </w:r>
            <w:r w:rsidR="00A859E5">
              <w:rPr>
                <w:noProof/>
                <w:webHidden/>
              </w:rPr>
              <w:fldChar w:fldCharType="end"/>
            </w:r>
          </w:hyperlink>
        </w:p>
        <w:p w14:paraId="0FF4BE5F" w14:textId="7D4B5681"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22" w:history="1">
            <w:r w:rsidR="00A859E5" w:rsidRPr="002A2ED4">
              <w:rPr>
                <w:rStyle w:val="Hyperlink"/>
                <w:noProof/>
              </w:rPr>
              <w:t>CHAPTER II RELATED LITERATURE AND THEORETICAL FRAMEWORK</w:t>
            </w:r>
            <w:r w:rsidR="00A859E5">
              <w:rPr>
                <w:noProof/>
                <w:webHidden/>
              </w:rPr>
              <w:tab/>
            </w:r>
            <w:r w:rsidR="00A859E5">
              <w:rPr>
                <w:noProof/>
                <w:webHidden/>
              </w:rPr>
              <w:fldChar w:fldCharType="begin"/>
            </w:r>
            <w:r w:rsidR="00A859E5">
              <w:rPr>
                <w:noProof/>
                <w:webHidden/>
              </w:rPr>
              <w:instrText xml:space="preserve"> PAGEREF _Toc171485422 \h </w:instrText>
            </w:r>
            <w:r w:rsidR="00A859E5">
              <w:rPr>
                <w:noProof/>
                <w:webHidden/>
              </w:rPr>
            </w:r>
            <w:r w:rsidR="00A859E5">
              <w:rPr>
                <w:noProof/>
                <w:webHidden/>
              </w:rPr>
              <w:fldChar w:fldCharType="separate"/>
            </w:r>
            <w:r w:rsidR="00721E9F">
              <w:rPr>
                <w:noProof/>
                <w:webHidden/>
              </w:rPr>
              <w:t>5</w:t>
            </w:r>
            <w:r w:rsidR="00A859E5">
              <w:rPr>
                <w:noProof/>
                <w:webHidden/>
              </w:rPr>
              <w:fldChar w:fldCharType="end"/>
            </w:r>
          </w:hyperlink>
        </w:p>
        <w:p w14:paraId="3B37F863" w14:textId="6795AD03"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23" w:history="1">
            <w:r w:rsidR="00A859E5" w:rsidRPr="002A2ED4">
              <w:rPr>
                <w:rStyle w:val="Hyperlink"/>
                <w:noProof/>
              </w:rPr>
              <w:t>2.1 Conceptual Review</w:t>
            </w:r>
            <w:r w:rsidR="00A859E5">
              <w:rPr>
                <w:noProof/>
                <w:webHidden/>
              </w:rPr>
              <w:tab/>
            </w:r>
            <w:r w:rsidR="00A859E5">
              <w:rPr>
                <w:noProof/>
                <w:webHidden/>
              </w:rPr>
              <w:fldChar w:fldCharType="begin"/>
            </w:r>
            <w:r w:rsidR="00A859E5">
              <w:rPr>
                <w:noProof/>
                <w:webHidden/>
              </w:rPr>
              <w:instrText xml:space="preserve"> PAGEREF _Toc171485423 \h </w:instrText>
            </w:r>
            <w:r w:rsidR="00A859E5">
              <w:rPr>
                <w:noProof/>
                <w:webHidden/>
              </w:rPr>
            </w:r>
            <w:r w:rsidR="00A859E5">
              <w:rPr>
                <w:noProof/>
                <w:webHidden/>
              </w:rPr>
              <w:fldChar w:fldCharType="separate"/>
            </w:r>
            <w:r w:rsidR="00721E9F">
              <w:rPr>
                <w:noProof/>
                <w:webHidden/>
              </w:rPr>
              <w:t>5</w:t>
            </w:r>
            <w:r w:rsidR="00A859E5">
              <w:rPr>
                <w:noProof/>
                <w:webHidden/>
              </w:rPr>
              <w:fldChar w:fldCharType="end"/>
            </w:r>
          </w:hyperlink>
        </w:p>
        <w:p w14:paraId="6D40B871" w14:textId="533FADF7"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24" w:history="1">
            <w:r w:rsidR="00A859E5" w:rsidRPr="002A2ED4">
              <w:rPr>
                <w:rStyle w:val="Hyperlink"/>
                <w:noProof/>
              </w:rPr>
              <w:t>2.2 Theoretical Literature Review</w:t>
            </w:r>
            <w:r w:rsidR="00A859E5">
              <w:rPr>
                <w:noProof/>
                <w:webHidden/>
              </w:rPr>
              <w:tab/>
            </w:r>
            <w:r w:rsidR="00A859E5">
              <w:rPr>
                <w:noProof/>
                <w:webHidden/>
              </w:rPr>
              <w:fldChar w:fldCharType="begin"/>
            </w:r>
            <w:r w:rsidR="00A859E5">
              <w:rPr>
                <w:noProof/>
                <w:webHidden/>
              </w:rPr>
              <w:instrText xml:space="preserve"> PAGEREF _Toc171485424 \h </w:instrText>
            </w:r>
            <w:r w:rsidR="00A859E5">
              <w:rPr>
                <w:noProof/>
                <w:webHidden/>
              </w:rPr>
            </w:r>
            <w:r w:rsidR="00A859E5">
              <w:rPr>
                <w:noProof/>
                <w:webHidden/>
              </w:rPr>
              <w:fldChar w:fldCharType="separate"/>
            </w:r>
            <w:r w:rsidR="00721E9F">
              <w:rPr>
                <w:noProof/>
                <w:webHidden/>
              </w:rPr>
              <w:t>6</w:t>
            </w:r>
            <w:r w:rsidR="00A859E5">
              <w:rPr>
                <w:noProof/>
                <w:webHidden/>
              </w:rPr>
              <w:fldChar w:fldCharType="end"/>
            </w:r>
          </w:hyperlink>
        </w:p>
        <w:p w14:paraId="66F0B604" w14:textId="565B49FC" w:rsidR="00A859E5" w:rsidRDefault="00000000" w:rsidP="00A859E5">
          <w:pPr>
            <w:pStyle w:val="TOC3"/>
            <w:tabs>
              <w:tab w:val="right" w:leader="dot" w:pos="8296"/>
            </w:tabs>
            <w:spacing w:line="360" w:lineRule="auto"/>
            <w:rPr>
              <w:rFonts w:asciiTheme="minorHAnsi" w:eastAsiaTheme="minorEastAsia" w:hAnsiTheme="minorHAnsi"/>
              <w:noProof/>
              <w:color w:val="auto"/>
              <w:sz w:val="22"/>
            </w:rPr>
          </w:pPr>
          <w:hyperlink w:anchor="_Toc171485425" w:history="1">
            <w:r w:rsidR="00A859E5" w:rsidRPr="002A2ED4">
              <w:rPr>
                <w:rStyle w:val="Hyperlink"/>
                <w:noProof/>
              </w:rPr>
              <w:t>2.2.1. New Economics of Labor Migration (NELM)</w:t>
            </w:r>
            <w:r w:rsidR="00A859E5">
              <w:rPr>
                <w:noProof/>
                <w:webHidden/>
              </w:rPr>
              <w:tab/>
            </w:r>
            <w:r w:rsidR="00A859E5">
              <w:rPr>
                <w:noProof/>
                <w:webHidden/>
              </w:rPr>
              <w:fldChar w:fldCharType="begin"/>
            </w:r>
            <w:r w:rsidR="00A859E5">
              <w:rPr>
                <w:noProof/>
                <w:webHidden/>
              </w:rPr>
              <w:instrText xml:space="preserve"> PAGEREF _Toc171485425 \h </w:instrText>
            </w:r>
            <w:r w:rsidR="00A859E5">
              <w:rPr>
                <w:noProof/>
                <w:webHidden/>
              </w:rPr>
            </w:r>
            <w:r w:rsidR="00A859E5">
              <w:rPr>
                <w:noProof/>
                <w:webHidden/>
              </w:rPr>
              <w:fldChar w:fldCharType="separate"/>
            </w:r>
            <w:r w:rsidR="00721E9F">
              <w:rPr>
                <w:noProof/>
                <w:webHidden/>
              </w:rPr>
              <w:t>6</w:t>
            </w:r>
            <w:r w:rsidR="00A859E5">
              <w:rPr>
                <w:noProof/>
                <w:webHidden/>
              </w:rPr>
              <w:fldChar w:fldCharType="end"/>
            </w:r>
          </w:hyperlink>
        </w:p>
        <w:p w14:paraId="3B83B81B" w14:textId="2BAE26FF" w:rsidR="00A859E5" w:rsidRDefault="00000000" w:rsidP="00A859E5">
          <w:pPr>
            <w:pStyle w:val="TOC3"/>
            <w:tabs>
              <w:tab w:val="right" w:leader="dot" w:pos="8296"/>
            </w:tabs>
            <w:spacing w:line="360" w:lineRule="auto"/>
            <w:rPr>
              <w:rFonts w:asciiTheme="minorHAnsi" w:eastAsiaTheme="minorEastAsia" w:hAnsiTheme="minorHAnsi"/>
              <w:noProof/>
              <w:color w:val="auto"/>
              <w:sz w:val="22"/>
            </w:rPr>
          </w:pPr>
          <w:hyperlink w:anchor="_Toc171485426" w:history="1">
            <w:r w:rsidR="00A859E5" w:rsidRPr="002A2ED4">
              <w:rPr>
                <w:rStyle w:val="Hyperlink"/>
                <w:noProof/>
              </w:rPr>
              <w:t>2.2.2. Sustainable Livelihoods Approach (SLA)</w:t>
            </w:r>
            <w:r w:rsidR="00A859E5">
              <w:rPr>
                <w:noProof/>
                <w:webHidden/>
              </w:rPr>
              <w:tab/>
            </w:r>
            <w:r w:rsidR="00A859E5">
              <w:rPr>
                <w:noProof/>
                <w:webHidden/>
              </w:rPr>
              <w:fldChar w:fldCharType="begin"/>
            </w:r>
            <w:r w:rsidR="00A859E5">
              <w:rPr>
                <w:noProof/>
                <w:webHidden/>
              </w:rPr>
              <w:instrText xml:space="preserve"> PAGEREF _Toc171485426 \h </w:instrText>
            </w:r>
            <w:r w:rsidR="00A859E5">
              <w:rPr>
                <w:noProof/>
                <w:webHidden/>
              </w:rPr>
            </w:r>
            <w:r w:rsidR="00A859E5">
              <w:rPr>
                <w:noProof/>
                <w:webHidden/>
              </w:rPr>
              <w:fldChar w:fldCharType="separate"/>
            </w:r>
            <w:r w:rsidR="00721E9F">
              <w:rPr>
                <w:noProof/>
                <w:webHidden/>
              </w:rPr>
              <w:t>6</w:t>
            </w:r>
            <w:r w:rsidR="00A859E5">
              <w:rPr>
                <w:noProof/>
                <w:webHidden/>
              </w:rPr>
              <w:fldChar w:fldCharType="end"/>
            </w:r>
          </w:hyperlink>
        </w:p>
        <w:p w14:paraId="473AB8ED" w14:textId="4806C94E"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27" w:history="1">
            <w:r w:rsidR="00A859E5" w:rsidRPr="002A2ED4">
              <w:rPr>
                <w:rStyle w:val="Hyperlink"/>
                <w:noProof/>
              </w:rPr>
              <w:t>2.6 Conceptual Framework</w:t>
            </w:r>
            <w:r w:rsidR="00A859E5">
              <w:rPr>
                <w:noProof/>
                <w:webHidden/>
              </w:rPr>
              <w:tab/>
            </w:r>
            <w:r w:rsidR="00A859E5">
              <w:rPr>
                <w:noProof/>
                <w:webHidden/>
              </w:rPr>
              <w:fldChar w:fldCharType="begin"/>
            </w:r>
            <w:r w:rsidR="00A859E5">
              <w:rPr>
                <w:noProof/>
                <w:webHidden/>
              </w:rPr>
              <w:instrText xml:space="preserve"> PAGEREF _Toc171485427 \h </w:instrText>
            </w:r>
            <w:r w:rsidR="00A859E5">
              <w:rPr>
                <w:noProof/>
                <w:webHidden/>
              </w:rPr>
            </w:r>
            <w:r w:rsidR="00A859E5">
              <w:rPr>
                <w:noProof/>
                <w:webHidden/>
              </w:rPr>
              <w:fldChar w:fldCharType="separate"/>
            </w:r>
            <w:r w:rsidR="00721E9F">
              <w:rPr>
                <w:noProof/>
                <w:webHidden/>
              </w:rPr>
              <w:t>10</w:t>
            </w:r>
            <w:r w:rsidR="00A859E5">
              <w:rPr>
                <w:noProof/>
                <w:webHidden/>
              </w:rPr>
              <w:fldChar w:fldCharType="end"/>
            </w:r>
          </w:hyperlink>
        </w:p>
        <w:p w14:paraId="32D54320" w14:textId="1C9A5563"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28" w:history="1">
            <w:r w:rsidR="00A859E5" w:rsidRPr="002A2ED4">
              <w:rPr>
                <w:rStyle w:val="Hyperlink"/>
                <w:noProof/>
              </w:rPr>
              <w:t>CHAPTER III RESEARCH METHODOLOGY</w:t>
            </w:r>
            <w:r w:rsidR="00A859E5">
              <w:rPr>
                <w:noProof/>
                <w:webHidden/>
              </w:rPr>
              <w:tab/>
            </w:r>
            <w:r w:rsidR="00A859E5">
              <w:rPr>
                <w:noProof/>
                <w:webHidden/>
              </w:rPr>
              <w:fldChar w:fldCharType="begin"/>
            </w:r>
            <w:r w:rsidR="00A859E5">
              <w:rPr>
                <w:noProof/>
                <w:webHidden/>
              </w:rPr>
              <w:instrText xml:space="preserve"> PAGEREF _Toc171485428 \h </w:instrText>
            </w:r>
            <w:r w:rsidR="00A859E5">
              <w:rPr>
                <w:noProof/>
                <w:webHidden/>
              </w:rPr>
            </w:r>
            <w:r w:rsidR="00A859E5">
              <w:rPr>
                <w:noProof/>
                <w:webHidden/>
              </w:rPr>
              <w:fldChar w:fldCharType="separate"/>
            </w:r>
            <w:r w:rsidR="00721E9F">
              <w:rPr>
                <w:noProof/>
                <w:webHidden/>
              </w:rPr>
              <w:t>12</w:t>
            </w:r>
            <w:r w:rsidR="00A859E5">
              <w:rPr>
                <w:noProof/>
                <w:webHidden/>
              </w:rPr>
              <w:fldChar w:fldCharType="end"/>
            </w:r>
          </w:hyperlink>
        </w:p>
        <w:p w14:paraId="3A7CF319" w14:textId="5CC6B2AF"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29" w:history="1">
            <w:r w:rsidR="00A859E5" w:rsidRPr="002A2ED4">
              <w:rPr>
                <w:rStyle w:val="Hyperlink"/>
                <w:noProof/>
              </w:rPr>
              <w:t>3.1 Research Design</w:t>
            </w:r>
            <w:r w:rsidR="00A859E5">
              <w:rPr>
                <w:noProof/>
                <w:webHidden/>
              </w:rPr>
              <w:tab/>
            </w:r>
            <w:r w:rsidR="00A859E5">
              <w:rPr>
                <w:noProof/>
                <w:webHidden/>
              </w:rPr>
              <w:fldChar w:fldCharType="begin"/>
            </w:r>
            <w:r w:rsidR="00A859E5">
              <w:rPr>
                <w:noProof/>
                <w:webHidden/>
              </w:rPr>
              <w:instrText xml:space="preserve"> PAGEREF _Toc171485429 \h </w:instrText>
            </w:r>
            <w:r w:rsidR="00A859E5">
              <w:rPr>
                <w:noProof/>
                <w:webHidden/>
              </w:rPr>
            </w:r>
            <w:r w:rsidR="00A859E5">
              <w:rPr>
                <w:noProof/>
                <w:webHidden/>
              </w:rPr>
              <w:fldChar w:fldCharType="separate"/>
            </w:r>
            <w:r w:rsidR="00721E9F">
              <w:rPr>
                <w:noProof/>
                <w:webHidden/>
              </w:rPr>
              <w:t>12</w:t>
            </w:r>
            <w:r w:rsidR="00A859E5">
              <w:rPr>
                <w:noProof/>
                <w:webHidden/>
              </w:rPr>
              <w:fldChar w:fldCharType="end"/>
            </w:r>
          </w:hyperlink>
        </w:p>
        <w:p w14:paraId="6686E311" w14:textId="206370F4"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30" w:history="1">
            <w:r w:rsidR="00A859E5" w:rsidRPr="002A2ED4">
              <w:rPr>
                <w:rStyle w:val="Hyperlink"/>
                <w:noProof/>
              </w:rPr>
              <w:t>3.2 Population and Sample</w:t>
            </w:r>
            <w:r w:rsidR="00A859E5">
              <w:rPr>
                <w:noProof/>
                <w:webHidden/>
              </w:rPr>
              <w:tab/>
            </w:r>
            <w:r w:rsidR="00A859E5">
              <w:rPr>
                <w:noProof/>
                <w:webHidden/>
              </w:rPr>
              <w:fldChar w:fldCharType="begin"/>
            </w:r>
            <w:r w:rsidR="00A859E5">
              <w:rPr>
                <w:noProof/>
                <w:webHidden/>
              </w:rPr>
              <w:instrText xml:space="preserve"> PAGEREF _Toc171485430 \h </w:instrText>
            </w:r>
            <w:r w:rsidR="00A859E5">
              <w:rPr>
                <w:noProof/>
                <w:webHidden/>
              </w:rPr>
            </w:r>
            <w:r w:rsidR="00A859E5">
              <w:rPr>
                <w:noProof/>
                <w:webHidden/>
              </w:rPr>
              <w:fldChar w:fldCharType="separate"/>
            </w:r>
            <w:r w:rsidR="00721E9F">
              <w:rPr>
                <w:noProof/>
                <w:webHidden/>
              </w:rPr>
              <w:t>12</w:t>
            </w:r>
            <w:r w:rsidR="00A859E5">
              <w:rPr>
                <w:noProof/>
                <w:webHidden/>
              </w:rPr>
              <w:fldChar w:fldCharType="end"/>
            </w:r>
          </w:hyperlink>
        </w:p>
        <w:p w14:paraId="5FC1ECF9" w14:textId="3541E404"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31" w:history="1">
            <w:r w:rsidR="00A859E5" w:rsidRPr="002A2ED4">
              <w:rPr>
                <w:rStyle w:val="Hyperlink"/>
                <w:noProof/>
              </w:rPr>
              <w:t>3.3 Nature and Sources of Data</w:t>
            </w:r>
            <w:r w:rsidR="00A859E5">
              <w:rPr>
                <w:noProof/>
                <w:webHidden/>
              </w:rPr>
              <w:tab/>
            </w:r>
            <w:r w:rsidR="00A859E5">
              <w:rPr>
                <w:noProof/>
                <w:webHidden/>
              </w:rPr>
              <w:fldChar w:fldCharType="begin"/>
            </w:r>
            <w:r w:rsidR="00A859E5">
              <w:rPr>
                <w:noProof/>
                <w:webHidden/>
              </w:rPr>
              <w:instrText xml:space="preserve"> PAGEREF _Toc171485431 \h </w:instrText>
            </w:r>
            <w:r w:rsidR="00A859E5">
              <w:rPr>
                <w:noProof/>
                <w:webHidden/>
              </w:rPr>
            </w:r>
            <w:r w:rsidR="00A859E5">
              <w:rPr>
                <w:noProof/>
                <w:webHidden/>
              </w:rPr>
              <w:fldChar w:fldCharType="separate"/>
            </w:r>
            <w:r w:rsidR="00721E9F">
              <w:rPr>
                <w:noProof/>
                <w:webHidden/>
              </w:rPr>
              <w:t>12</w:t>
            </w:r>
            <w:r w:rsidR="00A859E5">
              <w:rPr>
                <w:noProof/>
                <w:webHidden/>
              </w:rPr>
              <w:fldChar w:fldCharType="end"/>
            </w:r>
          </w:hyperlink>
        </w:p>
        <w:p w14:paraId="2DACF894" w14:textId="017B8A25"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32" w:history="1">
            <w:r w:rsidR="00A859E5" w:rsidRPr="002A2ED4">
              <w:rPr>
                <w:rStyle w:val="Hyperlink"/>
                <w:noProof/>
              </w:rPr>
              <w:t>3.4 Instrumentation</w:t>
            </w:r>
            <w:r w:rsidR="00A859E5">
              <w:rPr>
                <w:noProof/>
                <w:webHidden/>
              </w:rPr>
              <w:tab/>
            </w:r>
            <w:r w:rsidR="00A859E5">
              <w:rPr>
                <w:noProof/>
                <w:webHidden/>
              </w:rPr>
              <w:fldChar w:fldCharType="begin"/>
            </w:r>
            <w:r w:rsidR="00A859E5">
              <w:rPr>
                <w:noProof/>
                <w:webHidden/>
              </w:rPr>
              <w:instrText xml:space="preserve"> PAGEREF _Toc171485432 \h </w:instrText>
            </w:r>
            <w:r w:rsidR="00A859E5">
              <w:rPr>
                <w:noProof/>
                <w:webHidden/>
              </w:rPr>
            </w:r>
            <w:r w:rsidR="00A859E5">
              <w:rPr>
                <w:noProof/>
                <w:webHidden/>
              </w:rPr>
              <w:fldChar w:fldCharType="separate"/>
            </w:r>
            <w:r w:rsidR="00721E9F">
              <w:rPr>
                <w:noProof/>
                <w:webHidden/>
              </w:rPr>
              <w:t>12</w:t>
            </w:r>
            <w:r w:rsidR="00A859E5">
              <w:rPr>
                <w:noProof/>
                <w:webHidden/>
              </w:rPr>
              <w:fldChar w:fldCharType="end"/>
            </w:r>
          </w:hyperlink>
        </w:p>
        <w:p w14:paraId="5FC923B9" w14:textId="7A3970CD"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33" w:history="1">
            <w:r w:rsidR="00A859E5" w:rsidRPr="002A2ED4">
              <w:rPr>
                <w:rStyle w:val="Hyperlink"/>
                <w:noProof/>
              </w:rPr>
              <w:t>3.5 Data Analysis Tools</w:t>
            </w:r>
            <w:r w:rsidR="00A859E5">
              <w:rPr>
                <w:noProof/>
                <w:webHidden/>
              </w:rPr>
              <w:tab/>
            </w:r>
            <w:r w:rsidR="00A859E5">
              <w:rPr>
                <w:noProof/>
                <w:webHidden/>
              </w:rPr>
              <w:fldChar w:fldCharType="begin"/>
            </w:r>
            <w:r w:rsidR="00A859E5">
              <w:rPr>
                <w:noProof/>
                <w:webHidden/>
              </w:rPr>
              <w:instrText xml:space="preserve"> PAGEREF _Toc171485433 \h </w:instrText>
            </w:r>
            <w:r w:rsidR="00A859E5">
              <w:rPr>
                <w:noProof/>
                <w:webHidden/>
              </w:rPr>
            </w:r>
            <w:r w:rsidR="00A859E5">
              <w:rPr>
                <w:noProof/>
                <w:webHidden/>
              </w:rPr>
              <w:fldChar w:fldCharType="separate"/>
            </w:r>
            <w:r w:rsidR="00721E9F">
              <w:rPr>
                <w:noProof/>
                <w:webHidden/>
              </w:rPr>
              <w:t>12</w:t>
            </w:r>
            <w:r w:rsidR="00A859E5">
              <w:rPr>
                <w:noProof/>
                <w:webHidden/>
              </w:rPr>
              <w:fldChar w:fldCharType="end"/>
            </w:r>
          </w:hyperlink>
        </w:p>
        <w:p w14:paraId="426C67DE" w14:textId="649A982E"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34" w:history="1">
            <w:r w:rsidR="00A859E5" w:rsidRPr="002A2ED4">
              <w:rPr>
                <w:rStyle w:val="Hyperlink"/>
                <w:noProof/>
              </w:rPr>
              <w:t>CHAPTER IV  ANALYSIS AND RESULTS</w:t>
            </w:r>
            <w:r w:rsidR="00A859E5">
              <w:rPr>
                <w:noProof/>
                <w:webHidden/>
              </w:rPr>
              <w:tab/>
            </w:r>
            <w:r w:rsidR="00A859E5">
              <w:rPr>
                <w:noProof/>
                <w:webHidden/>
              </w:rPr>
              <w:fldChar w:fldCharType="begin"/>
            </w:r>
            <w:r w:rsidR="00A859E5">
              <w:rPr>
                <w:noProof/>
                <w:webHidden/>
              </w:rPr>
              <w:instrText xml:space="preserve"> PAGEREF _Toc171485434 \h </w:instrText>
            </w:r>
            <w:r w:rsidR="00A859E5">
              <w:rPr>
                <w:noProof/>
                <w:webHidden/>
              </w:rPr>
            </w:r>
            <w:r w:rsidR="00A859E5">
              <w:rPr>
                <w:noProof/>
                <w:webHidden/>
              </w:rPr>
              <w:fldChar w:fldCharType="separate"/>
            </w:r>
            <w:r w:rsidR="00721E9F">
              <w:rPr>
                <w:noProof/>
                <w:webHidden/>
              </w:rPr>
              <w:t>13</w:t>
            </w:r>
            <w:r w:rsidR="00A859E5">
              <w:rPr>
                <w:noProof/>
                <w:webHidden/>
              </w:rPr>
              <w:fldChar w:fldCharType="end"/>
            </w:r>
          </w:hyperlink>
        </w:p>
        <w:p w14:paraId="53D98C8F" w14:textId="6B963D4B"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35" w:history="1">
            <w:r w:rsidR="00A859E5" w:rsidRPr="002A2ED4">
              <w:rPr>
                <w:rStyle w:val="Hyperlink"/>
                <w:noProof/>
              </w:rPr>
              <w:t>Demographics</w:t>
            </w:r>
            <w:r w:rsidR="00A859E5">
              <w:rPr>
                <w:noProof/>
                <w:webHidden/>
              </w:rPr>
              <w:tab/>
            </w:r>
            <w:r w:rsidR="00A859E5">
              <w:rPr>
                <w:noProof/>
                <w:webHidden/>
              </w:rPr>
              <w:fldChar w:fldCharType="begin"/>
            </w:r>
            <w:r w:rsidR="00A859E5">
              <w:rPr>
                <w:noProof/>
                <w:webHidden/>
              </w:rPr>
              <w:instrText xml:space="preserve"> PAGEREF _Toc171485435 \h </w:instrText>
            </w:r>
            <w:r w:rsidR="00A859E5">
              <w:rPr>
                <w:noProof/>
                <w:webHidden/>
              </w:rPr>
            </w:r>
            <w:r w:rsidR="00A859E5">
              <w:rPr>
                <w:noProof/>
                <w:webHidden/>
              </w:rPr>
              <w:fldChar w:fldCharType="separate"/>
            </w:r>
            <w:r w:rsidR="00721E9F">
              <w:rPr>
                <w:noProof/>
                <w:webHidden/>
              </w:rPr>
              <w:t>13</w:t>
            </w:r>
            <w:r w:rsidR="00A859E5">
              <w:rPr>
                <w:noProof/>
                <w:webHidden/>
              </w:rPr>
              <w:fldChar w:fldCharType="end"/>
            </w:r>
          </w:hyperlink>
        </w:p>
        <w:p w14:paraId="5BF22CC7" w14:textId="6DF43541"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36" w:history="1">
            <w:r w:rsidR="00A859E5" w:rsidRPr="002A2ED4">
              <w:rPr>
                <w:rStyle w:val="Hyperlink"/>
                <w:noProof/>
              </w:rPr>
              <w:t>Descriptive Statistics</w:t>
            </w:r>
            <w:r w:rsidR="00A859E5">
              <w:rPr>
                <w:noProof/>
                <w:webHidden/>
              </w:rPr>
              <w:tab/>
            </w:r>
            <w:r w:rsidR="00A859E5">
              <w:rPr>
                <w:noProof/>
                <w:webHidden/>
              </w:rPr>
              <w:fldChar w:fldCharType="begin"/>
            </w:r>
            <w:r w:rsidR="00A859E5">
              <w:rPr>
                <w:noProof/>
                <w:webHidden/>
              </w:rPr>
              <w:instrText xml:space="preserve"> PAGEREF _Toc171485436 \h </w:instrText>
            </w:r>
            <w:r w:rsidR="00A859E5">
              <w:rPr>
                <w:noProof/>
                <w:webHidden/>
              </w:rPr>
            </w:r>
            <w:r w:rsidR="00A859E5">
              <w:rPr>
                <w:noProof/>
                <w:webHidden/>
              </w:rPr>
              <w:fldChar w:fldCharType="separate"/>
            </w:r>
            <w:r w:rsidR="00721E9F">
              <w:rPr>
                <w:noProof/>
                <w:webHidden/>
              </w:rPr>
              <w:t>16</w:t>
            </w:r>
            <w:r w:rsidR="00A859E5">
              <w:rPr>
                <w:noProof/>
                <w:webHidden/>
              </w:rPr>
              <w:fldChar w:fldCharType="end"/>
            </w:r>
          </w:hyperlink>
        </w:p>
        <w:p w14:paraId="74ACBE88" w14:textId="7D66E927"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37" w:history="1">
            <w:r w:rsidR="00A859E5" w:rsidRPr="002A2ED4">
              <w:rPr>
                <w:rStyle w:val="Hyperlink"/>
                <w:noProof/>
              </w:rPr>
              <w:t>Correlations Analysis</w:t>
            </w:r>
            <w:r w:rsidR="00A859E5">
              <w:rPr>
                <w:noProof/>
                <w:webHidden/>
              </w:rPr>
              <w:tab/>
            </w:r>
            <w:r w:rsidR="00A859E5">
              <w:rPr>
                <w:noProof/>
                <w:webHidden/>
              </w:rPr>
              <w:fldChar w:fldCharType="begin"/>
            </w:r>
            <w:r w:rsidR="00A859E5">
              <w:rPr>
                <w:noProof/>
                <w:webHidden/>
              </w:rPr>
              <w:instrText xml:space="preserve"> PAGEREF _Toc171485437 \h </w:instrText>
            </w:r>
            <w:r w:rsidR="00A859E5">
              <w:rPr>
                <w:noProof/>
                <w:webHidden/>
              </w:rPr>
            </w:r>
            <w:r w:rsidR="00A859E5">
              <w:rPr>
                <w:noProof/>
                <w:webHidden/>
              </w:rPr>
              <w:fldChar w:fldCharType="separate"/>
            </w:r>
            <w:r w:rsidR="00721E9F">
              <w:rPr>
                <w:noProof/>
                <w:webHidden/>
              </w:rPr>
              <w:t>31</w:t>
            </w:r>
            <w:r w:rsidR="00A859E5">
              <w:rPr>
                <w:noProof/>
                <w:webHidden/>
              </w:rPr>
              <w:fldChar w:fldCharType="end"/>
            </w:r>
          </w:hyperlink>
        </w:p>
        <w:p w14:paraId="22166B5B" w14:textId="0257288A"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38" w:history="1">
            <w:r w:rsidR="00A859E5" w:rsidRPr="002A2ED4">
              <w:rPr>
                <w:rStyle w:val="Hyperlink"/>
                <w:noProof/>
              </w:rPr>
              <w:t>Regression analysis</w:t>
            </w:r>
            <w:r w:rsidR="00A859E5">
              <w:rPr>
                <w:noProof/>
                <w:webHidden/>
              </w:rPr>
              <w:tab/>
            </w:r>
            <w:r w:rsidR="00A859E5">
              <w:rPr>
                <w:noProof/>
                <w:webHidden/>
              </w:rPr>
              <w:fldChar w:fldCharType="begin"/>
            </w:r>
            <w:r w:rsidR="00A859E5">
              <w:rPr>
                <w:noProof/>
                <w:webHidden/>
              </w:rPr>
              <w:instrText xml:space="preserve"> PAGEREF _Toc171485438 \h </w:instrText>
            </w:r>
            <w:r w:rsidR="00A859E5">
              <w:rPr>
                <w:noProof/>
                <w:webHidden/>
              </w:rPr>
            </w:r>
            <w:r w:rsidR="00A859E5">
              <w:rPr>
                <w:noProof/>
                <w:webHidden/>
              </w:rPr>
              <w:fldChar w:fldCharType="separate"/>
            </w:r>
            <w:r w:rsidR="00721E9F">
              <w:rPr>
                <w:noProof/>
                <w:webHidden/>
              </w:rPr>
              <w:t>31</w:t>
            </w:r>
            <w:r w:rsidR="00A859E5">
              <w:rPr>
                <w:noProof/>
                <w:webHidden/>
              </w:rPr>
              <w:fldChar w:fldCharType="end"/>
            </w:r>
          </w:hyperlink>
        </w:p>
        <w:p w14:paraId="512156F4" w14:textId="6F8FEF24"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39" w:history="1">
            <w:r w:rsidR="00A859E5" w:rsidRPr="002A2ED4">
              <w:rPr>
                <w:rStyle w:val="Hyperlink"/>
                <w:noProof/>
              </w:rPr>
              <w:t>Findings</w:t>
            </w:r>
            <w:r w:rsidR="00A859E5">
              <w:rPr>
                <w:noProof/>
                <w:webHidden/>
              </w:rPr>
              <w:tab/>
            </w:r>
            <w:r w:rsidR="00A859E5">
              <w:rPr>
                <w:noProof/>
                <w:webHidden/>
              </w:rPr>
              <w:fldChar w:fldCharType="begin"/>
            </w:r>
            <w:r w:rsidR="00A859E5">
              <w:rPr>
                <w:noProof/>
                <w:webHidden/>
              </w:rPr>
              <w:instrText xml:space="preserve"> PAGEREF _Toc171485439 \h </w:instrText>
            </w:r>
            <w:r w:rsidR="00A859E5">
              <w:rPr>
                <w:noProof/>
                <w:webHidden/>
              </w:rPr>
            </w:r>
            <w:r w:rsidR="00A859E5">
              <w:rPr>
                <w:noProof/>
                <w:webHidden/>
              </w:rPr>
              <w:fldChar w:fldCharType="separate"/>
            </w:r>
            <w:r w:rsidR="00721E9F">
              <w:rPr>
                <w:noProof/>
                <w:webHidden/>
              </w:rPr>
              <w:t>34</w:t>
            </w:r>
            <w:r w:rsidR="00A859E5">
              <w:rPr>
                <w:noProof/>
                <w:webHidden/>
              </w:rPr>
              <w:fldChar w:fldCharType="end"/>
            </w:r>
          </w:hyperlink>
        </w:p>
        <w:p w14:paraId="0711A0C4" w14:textId="54827EA2"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40" w:history="1">
            <w:r w:rsidR="00A859E5" w:rsidRPr="002A2ED4">
              <w:rPr>
                <w:rStyle w:val="Hyperlink"/>
                <w:noProof/>
              </w:rPr>
              <w:t>CHAPTER V DISCUSSIONS AND CONCLUSION</w:t>
            </w:r>
            <w:r w:rsidR="00A859E5">
              <w:rPr>
                <w:noProof/>
                <w:webHidden/>
              </w:rPr>
              <w:tab/>
            </w:r>
            <w:r w:rsidR="00A859E5">
              <w:rPr>
                <w:noProof/>
                <w:webHidden/>
              </w:rPr>
              <w:fldChar w:fldCharType="begin"/>
            </w:r>
            <w:r w:rsidR="00A859E5">
              <w:rPr>
                <w:noProof/>
                <w:webHidden/>
              </w:rPr>
              <w:instrText xml:space="preserve"> PAGEREF _Toc171485440 \h </w:instrText>
            </w:r>
            <w:r w:rsidR="00A859E5">
              <w:rPr>
                <w:noProof/>
                <w:webHidden/>
              </w:rPr>
            </w:r>
            <w:r w:rsidR="00A859E5">
              <w:rPr>
                <w:noProof/>
                <w:webHidden/>
              </w:rPr>
              <w:fldChar w:fldCharType="separate"/>
            </w:r>
            <w:r w:rsidR="00721E9F">
              <w:rPr>
                <w:noProof/>
                <w:webHidden/>
              </w:rPr>
              <w:t>35</w:t>
            </w:r>
            <w:r w:rsidR="00A859E5">
              <w:rPr>
                <w:noProof/>
                <w:webHidden/>
              </w:rPr>
              <w:fldChar w:fldCharType="end"/>
            </w:r>
          </w:hyperlink>
        </w:p>
        <w:p w14:paraId="4A5135AD" w14:textId="3103C1C3"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41" w:history="1">
            <w:r w:rsidR="00A859E5" w:rsidRPr="002A2ED4">
              <w:rPr>
                <w:rStyle w:val="Hyperlink"/>
                <w:noProof/>
              </w:rPr>
              <w:t>Discussion</w:t>
            </w:r>
            <w:r w:rsidR="00A859E5">
              <w:rPr>
                <w:noProof/>
                <w:webHidden/>
              </w:rPr>
              <w:tab/>
            </w:r>
            <w:r w:rsidR="00A859E5">
              <w:rPr>
                <w:noProof/>
                <w:webHidden/>
              </w:rPr>
              <w:fldChar w:fldCharType="begin"/>
            </w:r>
            <w:r w:rsidR="00A859E5">
              <w:rPr>
                <w:noProof/>
                <w:webHidden/>
              </w:rPr>
              <w:instrText xml:space="preserve"> PAGEREF _Toc171485441 \h </w:instrText>
            </w:r>
            <w:r w:rsidR="00A859E5">
              <w:rPr>
                <w:noProof/>
                <w:webHidden/>
              </w:rPr>
            </w:r>
            <w:r w:rsidR="00A859E5">
              <w:rPr>
                <w:noProof/>
                <w:webHidden/>
              </w:rPr>
              <w:fldChar w:fldCharType="separate"/>
            </w:r>
            <w:r w:rsidR="00721E9F">
              <w:rPr>
                <w:noProof/>
                <w:webHidden/>
              </w:rPr>
              <w:t>35</w:t>
            </w:r>
            <w:r w:rsidR="00A859E5">
              <w:rPr>
                <w:noProof/>
                <w:webHidden/>
              </w:rPr>
              <w:fldChar w:fldCharType="end"/>
            </w:r>
          </w:hyperlink>
        </w:p>
        <w:p w14:paraId="288509B6" w14:textId="7806BDD4"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42" w:history="1">
            <w:r w:rsidR="00A859E5" w:rsidRPr="002A2ED4">
              <w:rPr>
                <w:rStyle w:val="Hyperlink"/>
                <w:noProof/>
              </w:rPr>
              <w:t>Conclusion</w:t>
            </w:r>
            <w:r w:rsidR="00A859E5">
              <w:rPr>
                <w:noProof/>
                <w:webHidden/>
              </w:rPr>
              <w:tab/>
            </w:r>
            <w:r w:rsidR="00A859E5">
              <w:rPr>
                <w:noProof/>
                <w:webHidden/>
              </w:rPr>
              <w:fldChar w:fldCharType="begin"/>
            </w:r>
            <w:r w:rsidR="00A859E5">
              <w:rPr>
                <w:noProof/>
                <w:webHidden/>
              </w:rPr>
              <w:instrText xml:space="preserve"> PAGEREF _Toc171485442 \h </w:instrText>
            </w:r>
            <w:r w:rsidR="00A859E5">
              <w:rPr>
                <w:noProof/>
                <w:webHidden/>
              </w:rPr>
            </w:r>
            <w:r w:rsidR="00A859E5">
              <w:rPr>
                <w:noProof/>
                <w:webHidden/>
              </w:rPr>
              <w:fldChar w:fldCharType="separate"/>
            </w:r>
            <w:r w:rsidR="00721E9F">
              <w:rPr>
                <w:noProof/>
                <w:webHidden/>
              </w:rPr>
              <w:t>36</w:t>
            </w:r>
            <w:r w:rsidR="00A859E5">
              <w:rPr>
                <w:noProof/>
                <w:webHidden/>
              </w:rPr>
              <w:fldChar w:fldCharType="end"/>
            </w:r>
          </w:hyperlink>
        </w:p>
        <w:p w14:paraId="12D2591F" w14:textId="5902B0BF" w:rsidR="00A859E5" w:rsidRDefault="00000000" w:rsidP="00A859E5">
          <w:pPr>
            <w:pStyle w:val="TOC2"/>
            <w:tabs>
              <w:tab w:val="right" w:leader="dot" w:pos="8296"/>
            </w:tabs>
            <w:spacing w:line="360" w:lineRule="auto"/>
            <w:rPr>
              <w:rFonts w:asciiTheme="minorHAnsi" w:eastAsiaTheme="minorEastAsia" w:hAnsiTheme="minorHAnsi"/>
              <w:noProof/>
              <w:color w:val="auto"/>
              <w:sz w:val="22"/>
            </w:rPr>
          </w:pPr>
          <w:hyperlink w:anchor="_Toc171485443" w:history="1">
            <w:r w:rsidR="00A859E5" w:rsidRPr="002A2ED4">
              <w:rPr>
                <w:rStyle w:val="Hyperlink"/>
                <w:noProof/>
              </w:rPr>
              <w:t>Implications</w:t>
            </w:r>
            <w:r w:rsidR="00A859E5">
              <w:rPr>
                <w:noProof/>
                <w:webHidden/>
              </w:rPr>
              <w:tab/>
            </w:r>
            <w:r w:rsidR="00A859E5">
              <w:rPr>
                <w:noProof/>
                <w:webHidden/>
              </w:rPr>
              <w:fldChar w:fldCharType="begin"/>
            </w:r>
            <w:r w:rsidR="00A859E5">
              <w:rPr>
                <w:noProof/>
                <w:webHidden/>
              </w:rPr>
              <w:instrText xml:space="preserve"> PAGEREF _Toc171485443 \h </w:instrText>
            </w:r>
            <w:r w:rsidR="00A859E5">
              <w:rPr>
                <w:noProof/>
                <w:webHidden/>
              </w:rPr>
            </w:r>
            <w:r w:rsidR="00A859E5">
              <w:rPr>
                <w:noProof/>
                <w:webHidden/>
              </w:rPr>
              <w:fldChar w:fldCharType="separate"/>
            </w:r>
            <w:r w:rsidR="00721E9F">
              <w:rPr>
                <w:noProof/>
                <w:webHidden/>
              </w:rPr>
              <w:t>36</w:t>
            </w:r>
            <w:r w:rsidR="00A859E5">
              <w:rPr>
                <w:noProof/>
                <w:webHidden/>
              </w:rPr>
              <w:fldChar w:fldCharType="end"/>
            </w:r>
          </w:hyperlink>
        </w:p>
        <w:p w14:paraId="2AB1B11C" w14:textId="505F4549" w:rsidR="00A859E5" w:rsidRDefault="00000000" w:rsidP="00A859E5">
          <w:pPr>
            <w:pStyle w:val="TOC3"/>
            <w:tabs>
              <w:tab w:val="right" w:leader="dot" w:pos="8296"/>
            </w:tabs>
            <w:spacing w:line="360" w:lineRule="auto"/>
            <w:rPr>
              <w:rFonts w:asciiTheme="minorHAnsi" w:eastAsiaTheme="minorEastAsia" w:hAnsiTheme="minorHAnsi"/>
              <w:noProof/>
              <w:color w:val="auto"/>
              <w:sz w:val="22"/>
            </w:rPr>
          </w:pPr>
          <w:hyperlink w:anchor="_Toc171485444" w:history="1">
            <w:r w:rsidR="00A859E5" w:rsidRPr="002A2ED4">
              <w:rPr>
                <w:rStyle w:val="Hyperlink"/>
                <w:noProof/>
              </w:rPr>
              <w:t>Academic Implications</w:t>
            </w:r>
            <w:r w:rsidR="00A859E5">
              <w:rPr>
                <w:noProof/>
                <w:webHidden/>
              </w:rPr>
              <w:tab/>
            </w:r>
            <w:r w:rsidR="00A859E5">
              <w:rPr>
                <w:noProof/>
                <w:webHidden/>
              </w:rPr>
              <w:fldChar w:fldCharType="begin"/>
            </w:r>
            <w:r w:rsidR="00A859E5">
              <w:rPr>
                <w:noProof/>
                <w:webHidden/>
              </w:rPr>
              <w:instrText xml:space="preserve"> PAGEREF _Toc171485444 \h </w:instrText>
            </w:r>
            <w:r w:rsidR="00A859E5">
              <w:rPr>
                <w:noProof/>
                <w:webHidden/>
              </w:rPr>
            </w:r>
            <w:r w:rsidR="00A859E5">
              <w:rPr>
                <w:noProof/>
                <w:webHidden/>
              </w:rPr>
              <w:fldChar w:fldCharType="separate"/>
            </w:r>
            <w:r w:rsidR="00721E9F">
              <w:rPr>
                <w:noProof/>
                <w:webHidden/>
              </w:rPr>
              <w:t>36</w:t>
            </w:r>
            <w:r w:rsidR="00A859E5">
              <w:rPr>
                <w:noProof/>
                <w:webHidden/>
              </w:rPr>
              <w:fldChar w:fldCharType="end"/>
            </w:r>
          </w:hyperlink>
        </w:p>
        <w:p w14:paraId="7DE45782" w14:textId="662B8D95" w:rsidR="00A859E5" w:rsidRDefault="00000000" w:rsidP="00A859E5">
          <w:pPr>
            <w:pStyle w:val="TOC3"/>
            <w:tabs>
              <w:tab w:val="right" w:leader="dot" w:pos="8296"/>
            </w:tabs>
            <w:spacing w:line="360" w:lineRule="auto"/>
            <w:rPr>
              <w:rFonts w:asciiTheme="minorHAnsi" w:eastAsiaTheme="minorEastAsia" w:hAnsiTheme="minorHAnsi"/>
              <w:noProof/>
              <w:color w:val="auto"/>
              <w:sz w:val="22"/>
            </w:rPr>
          </w:pPr>
          <w:hyperlink w:anchor="_Toc171485445" w:history="1">
            <w:r w:rsidR="00A859E5" w:rsidRPr="002A2ED4">
              <w:rPr>
                <w:rStyle w:val="Hyperlink"/>
                <w:noProof/>
              </w:rPr>
              <w:t>Policy Implications</w:t>
            </w:r>
            <w:r w:rsidR="00A859E5">
              <w:rPr>
                <w:noProof/>
                <w:webHidden/>
              </w:rPr>
              <w:tab/>
            </w:r>
            <w:r w:rsidR="00A859E5">
              <w:rPr>
                <w:noProof/>
                <w:webHidden/>
              </w:rPr>
              <w:fldChar w:fldCharType="begin"/>
            </w:r>
            <w:r w:rsidR="00A859E5">
              <w:rPr>
                <w:noProof/>
                <w:webHidden/>
              </w:rPr>
              <w:instrText xml:space="preserve"> PAGEREF _Toc171485445 \h </w:instrText>
            </w:r>
            <w:r w:rsidR="00A859E5">
              <w:rPr>
                <w:noProof/>
                <w:webHidden/>
              </w:rPr>
            </w:r>
            <w:r w:rsidR="00A859E5">
              <w:rPr>
                <w:noProof/>
                <w:webHidden/>
              </w:rPr>
              <w:fldChar w:fldCharType="separate"/>
            </w:r>
            <w:r w:rsidR="00721E9F">
              <w:rPr>
                <w:noProof/>
                <w:webHidden/>
              </w:rPr>
              <w:t>36</w:t>
            </w:r>
            <w:r w:rsidR="00A859E5">
              <w:rPr>
                <w:noProof/>
                <w:webHidden/>
              </w:rPr>
              <w:fldChar w:fldCharType="end"/>
            </w:r>
          </w:hyperlink>
        </w:p>
        <w:p w14:paraId="3BFE1C59" w14:textId="4710CECB" w:rsidR="00A859E5" w:rsidRDefault="00000000" w:rsidP="00A859E5">
          <w:pPr>
            <w:pStyle w:val="TOC1"/>
            <w:tabs>
              <w:tab w:val="right" w:leader="dot" w:pos="8296"/>
            </w:tabs>
            <w:spacing w:line="360" w:lineRule="auto"/>
            <w:rPr>
              <w:rFonts w:asciiTheme="minorHAnsi" w:eastAsiaTheme="minorEastAsia" w:hAnsiTheme="minorHAnsi"/>
              <w:noProof/>
              <w:color w:val="auto"/>
              <w:sz w:val="22"/>
            </w:rPr>
          </w:pPr>
          <w:hyperlink w:anchor="_Toc171485446" w:history="1">
            <w:r w:rsidR="00A859E5" w:rsidRPr="002A2ED4">
              <w:rPr>
                <w:rStyle w:val="Hyperlink"/>
                <w:noProof/>
              </w:rPr>
              <w:t>REFERENCES</w:t>
            </w:r>
            <w:r w:rsidR="00A859E5">
              <w:rPr>
                <w:noProof/>
                <w:webHidden/>
              </w:rPr>
              <w:tab/>
            </w:r>
            <w:r w:rsidR="00A859E5">
              <w:rPr>
                <w:noProof/>
                <w:webHidden/>
              </w:rPr>
              <w:fldChar w:fldCharType="begin"/>
            </w:r>
            <w:r w:rsidR="00A859E5">
              <w:rPr>
                <w:noProof/>
                <w:webHidden/>
              </w:rPr>
              <w:instrText xml:space="preserve"> PAGEREF _Toc171485446 \h </w:instrText>
            </w:r>
            <w:r w:rsidR="00A859E5">
              <w:rPr>
                <w:noProof/>
                <w:webHidden/>
              </w:rPr>
            </w:r>
            <w:r w:rsidR="00A859E5">
              <w:rPr>
                <w:noProof/>
                <w:webHidden/>
              </w:rPr>
              <w:fldChar w:fldCharType="separate"/>
            </w:r>
            <w:r w:rsidR="00721E9F">
              <w:rPr>
                <w:noProof/>
                <w:webHidden/>
              </w:rPr>
              <w:t>37</w:t>
            </w:r>
            <w:r w:rsidR="00A859E5">
              <w:rPr>
                <w:noProof/>
                <w:webHidden/>
              </w:rPr>
              <w:fldChar w:fldCharType="end"/>
            </w:r>
          </w:hyperlink>
        </w:p>
        <w:p w14:paraId="210CE706" w14:textId="1E926191" w:rsidR="00531D92" w:rsidRDefault="00531D92" w:rsidP="00A859E5">
          <w:pPr>
            <w:spacing w:line="360" w:lineRule="auto"/>
          </w:pPr>
          <w:r>
            <w:rPr>
              <w:b/>
              <w:bCs/>
              <w:noProof/>
            </w:rPr>
            <w:fldChar w:fldCharType="end"/>
          </w:r>
        </w:p>
      </w:sdtContent>
    </w:sdt>
    <w:p w14:paraId="08A0A7B7" w14:textId="164ED620" w:rsidR="00531D92" w:rsidRPr="00531D92" w:rsidRDefault="00531D92" w:rsidP="007B1BDB">
      <w:pPr>
        <w:spacing w:line="360" w:lineRule="auto"/>
        <w:sectPr w:rsidR="00531D92" w:rsidRPr="00531D92" w:rsidSect="00531D92">
          <w:headerReference w:type="default" r:id="rId9"/>
          <w:pgSz w:w="11906" w:h="16838" w:code="9"/>
          <w:pgMar w:top="1440" w:right="1440" w:bottom="1440" w:left="2160" w:header="720" w:footer="720" w:gutter="0"/>
          <w:pgNumType w:fmt="lowerRoman" w:start="1"/>
          <w:cols w:space="720"/>
          <w:titlePg/>
          <w:docGrid w:linePitch="360"/>
        </w:sectPr>
      </w:pPr>
    </w:p>
    <w:p w14:paraId="009A186A" w14:textId="28218B52" w:rsidR="00B541BE" w:rsidRPr="00343903" w:rsidRDefault="00343903" w:rsidP="007B1BDB">
      <w:pPr>
        <w:pStyle w:val="Heading1"/>
      </w:pPr>
      <w:bookmarkStart w:id="5" w:name="_Toc171485415"/>
      <w:r>
        <w:lastRenderedPageBreak/>
        <w:t>C</w:t>
      </w:r>
      <w:r w:rsidR="00093A6E" w:rsidRPr="00343903">
        <w:t>HAPTER 1</w:t>
      </w:r>
      <w:r w:rsidR="00093A6E" w:rsidRPr="00343903">
        <w:br/>
        <w:t>INTRODUCTION</w:t>
      </w:r>
      <w:bookmarkEnd w:id="5"/>
    </w:p>
    <w:p w14:paraId="32A74392" w14:textId="77777777" w:rsidR="00B541BE" w:rsidRPr="00B541BE" w:rsidRDefault="00B541BE" w:rsidP="007B1BDB">
      <w:pPr>
        <w:pStyle w:val="Heading2"/>
        <w:rPr>
          <w:rFonts w:eastAsia="Times New Roman"/>
        </w:rPr>
      </w:pPr>
      <w:bookmarkStart w:id="6" w:name="_Toc171485416"/>
      <w:r w:rsidRPr="00B541BE">
        <w:rPr>
          <w:rFonts w:eastAsia="Times New Roman"/>
        </w:rPr>
        <w:t>1.1 Background of the Study</w:t>
      </w:r>
      <w:bookmarkEnd w:id="6"/>
    </w:p>
    <w:p w14:paraId="55D80032" w14:textId="5D6E725E"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Remittance plays an important role in the economy of many developing countries</w:t>
      </w:r>
      <w:r w:rsidR="00BF2090" w:rsidRPr="00BF2090">
        <w:t xml:space="preserve"> </w:t>
      </w:r>
      <w:r w:rsidR="00BF2090" w:rsidRPr="00BF2090">
        <w:rPr>
          <w:rFonts w:eastAsia="Times New Roman" w:cs="Times New Roman"/>
          <w:color w:val="auto"/>
          <w:szCs w:val="24"/>
        </w:rPr>
        <w:t>(Azam, 2015)</w:t>
      </w:r>
      <w:r w:rsidRPr="00B541BE">
        <w:rPr>
          <w:rFonts w:eastAsia="Times New Roman" w:cs="Times New Roman"/>
          <w:color w:val="auto"/>
          <w:szCs w:val="24"/>
        </w:rPr>
        <w:t>. It is the money sent by family members who work abroad back to their families in their home country. For Nepal, remittance is a major source of income</w:t>
      </w:r>
      <w:r w:rsidR="00BF2090">
        <w:rPr>
          <w:rFonts w:eastAsia="Times New Roman" w:cs="Times New Roman"/>
          <w:color w:val="auto"/>
          <w:szCs w:val="24"/>
        </w:rPr>
        <w:t xml:space="preserve"> </w:t>
      </w:r>
      <w:r w:rsidR="00BF2090" w:rsidRPr="00BF2090">
        <w:rPr>
          <w:rFonts w:eastAsia="Times New Roman" w:cs="Times New Roman"/>
          <w:color w:val="auto"/>
          <w:szCs w:val="24"/>
        </w:rPr>
        <w:t>(Chhetri et al., 2020)</w:t>
      </w:r>
      <w:r w:rsidRPr="00B541BE">
        <w:rPr>
          <w:rFonts w:eastAsia="Times New Roman" w:cs="Times New Roman"/>
          <w:color w:val="auto"/>
          <w:szCs w:val="24"/>
        </w:rPr>
        <w:t xml:space="preserve">. Many people in rural areas depend on it to meet their daily needs. One such area is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 in </w:t>
      </w:r>
      <w:proofErr w:type="spellStart"/>
      <w:r w:rsidR="007631DF">
        <w:rPr>
          <w:rFonts w:eastAsia="Times New Roman" w:cs="Times New Roman"/>
          <w:color w:val="auto"/>
          <w:szCs w:val="24"/>
        </w:rPr>
        <w:t>Syangja</w:t>
      </w:r>
      <w:proofErr w:type="spellEnd"/>
      <w:r w:rsidRPr="00B541BE">
        <w:rPr>
          <w:rFonts w:eastAsia="Times New Roman" w:cs="Times New Roman"/>
          <w:color w:val="auto"/>
          <w:szCs w:val="24"/>
        </w:rPr>
        <w:t>, where many households rely on remittance for their economic stability</w:t>
      </w:r>
      <w:r w:rsidR="00BF2090" w:rsidRPr="00BF2090">
        <w:t xml:space="preserve"> </w:t>
      </w:r>
      <w:r w:rsidR="00BF2090" w:rsidRPr="00BF2090">
        <w:rPr>
          <w:rFonts w:eastAsia="Times New Roman" w:cs="Times New Roman"/>
          <w:color w:val="auto"/>
          <w:szCs w:val="24"/>
        </w:rPr>
        <w:t>(Parajuli et al., 2023)</w:t>
      </w:r>
      <w:r w:rsidRPr="00B541BE">
        <w:rPr>
          <w:rFonts w:eastAsia="Times New Roman" w:cs="Times New Roman"/>
          <w:color w:val="auto"/>
          <w:szCs w:val="24"/>
        </w:rPr>
        <w:t>.</w:t>
      </w:r>
    </w:p>
    <w:p w14:paraId="5A8C606E" w14:textId="18A96007"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The rural economy of Nepal faces many challenges, such as limited job opportunities, poor infrastructure, and low agricultural productivity. These challenges often push people to seek employment abroad. The money they send back home helps to improve living standards, support education and healthcare, and fund social and cultural activities. However, the use of remittance also comes with challenges, like dependency on external income and misuse of funds </w:t>
      </w:r>
      <w:r w:rsidR="00BF2090" w:rsidRPr="00BF2090">
        <w:rPr>
          <w:rFonts w:eastAsia="Times New Roman" w:cs="Times New Roman"/>
          <w:color w:val="auto"/>
          <w:szCs w:val="24"/>
        </w:rPr>
        <w:t>(</w:t>
      </w:r>
      <w:proofErr w:type="spellStart"/>
      <w:r w:rsidR="00BF2090" w:rsidRPr="00BF2090">
        <w:rPr>
          <w:rFonts w:eastAsia="Times New Roman" w:cs="Times New Roman"/>
          <w:color w:val="auto"/>
          <w:szCs w:val="24"/>
        </w:rPr>
        <w:t>Adeseye</w:t>
      </w:r>
      <w:proofErr w:type="spellEnd"/>
      <w:r w:rsidR="00BF2090" w:rsidRPr="00BF2090">
        <w:rPr>
          <w:rFonts w:eastAsia="Times New Roman" w:cs="Times New Roman"/>
          <w:color w:val="auto"/>
          <w:szCs w:val="24"/>
        </w:rPr>
        <w:t>, 2021)</w:t>
      </w:r>
      <w:r w:rsidR="00BF2090">
        <w:rPr>
          <w:rFonts w:eastAsia="Times New Roman" w:cs="Times New Roman"/>
          <w:color w:val="auto"/>
          <w:szCs w:val="24"/>
        </w:rPr>
        <w:t>.</w:t>
      </w:r>
    </w:p>
    <w:p w14:paraId="565C5173" w14:textId="77777777"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The study of remittance and its impact on household economy is important to understand how it helps to improve the living conditions of families and contribute to local development. It also helps to identify the problems that families face in managing remittance and how these problems can be addressed to make better use of these funds.</w:t>
      </w:r>
    </w:p>
    <w:p w14:paraId="5064C57C" w14:textId="19BCCB39"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In the context of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 remittance is a key factor in the local economy. Many households have one or more members working abroad, especially in countries like India, the Gulf countries, Malaysia, and beyond. These workers send money back to support their families. This money is used for various purposes, such as buying food and clothing, paying for children's education, covering medical expenses, and investing in small businesses or savings </w:t>
      </w:r>
      <w:r w:rsidR="00750B3D" w:rsidRPr="00750B3D">
        <w:rPr>
          <w:rFonts w:eastAsia="Times New Roman" w:cs="Times New Roman"/>
          <w:color w:val="auto"/>
          <w:szCs w:val="24"/>
        </w:rPr>
        <w:t>(Gurung &amp; Bhandari, 2023)</w:t>
      </w:r>
      <w:r w:rsidR="00750B3D">
        <w:rPr>
          <w:rFonts w:eastAsia="Times New Roman" w:cs="Times New Roman"/>
          <w:color w:val="auto"/>
          <w:szCs w:val="24"/>
        </w:rPr>
        <w:t xml:space="preserve">. </w:t>
      </w:r>
      <w:r w:rsidRPr="00B541BE">
        <w:rPr>
          <w:rFonts w:eastAsia="Times New Roman" w:cs="Times New Roman"/>
          <w:color w:val="auto"/>
          <w:szCs w:val="24"/>
        </w:rPr>
        <w:t>Understanding how remittance affects household expenditure is important for several reasons. First, it helps to know if the money sent back is being used effectively to improve living standards. Second, it shows the areas where families need more support or guidance in managing their finances. Third, it provides insights into how remittance can be used to promote sustainable economic development in rural areas.</w:t>
      </w:r>
    </w:p>
    <w:p w14:paraId="44F90B6D" w14:textId="22795C7E"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lastRenderedPageBreak/>
        <w:t xml:space="preserve">Previous studies have shown that remittance can have both positive and negative effects on household economy. On the positive side, it increases income, reduces poverty, and helps to improve health and education. On the negative side, it can lead to dependency on external income, neglect of local job opportunities, and misuse of funds on non-productive activities </w:t>
      </w:r>
      <w:r w:rsidR="00750B3D" w:rsidRPr="00750B3D">
        <w:rPr>
          <w:rFonts w:eastAsia="Times New Roman" w:cs="Times New Roman"/>
          <w:color w:val="auto"/>
          <w:szCs w:val="24"/>
        </w:rPr>
        <w:t>(Adhikari, 2023)</w:t>
      </w:r>
      <w:r w:rsidRPr="00B541BE">
        <w:rPr>
          <w:rFonts w:eastAsia="Times New Roman" w:cs="Times New Roman"/>
          <w:color w:val="auto"/>
          <w:szCs w:val="24"/>
        </w:rPr>
        <w:t xml:space="preserve">. Therefore, it is important to study the specific context of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 to understand the local dynamics of remittance and its impact on household economy.</w:t>
      </w:r>
    </w:p>
    <w:p w14:paraId="21382539" w14:textId="77777777"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This study aims to explore the role of remittance in the household economy of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 It will look at how remittance is used by families, its impact on their living standards, and the challenges they face in managing these funds. The findings of this study will help to provide recommendations for better use of remittance to promote local development and improve the economic stability of households.</w:t>
      </w:r>
    </w:p>
    <w:p w14:paraId="01F8C045" w14:textId="77777777" w:rsidR="00B541BE" w:rsidRPr="00B541BE" w:rsidRDefault="00B541BE" w:rsidP="007B1BDB">
      <w:pPr>
        <w:pStyle w:val="Heading2"/>
        <w:rPr>
          <w:rFonts w:eastAsia="Times New Roman"/>
        </w:rPr>
      </w:pPr>
      <w:bookmarkStart w:id="7" w:name="_Toc171485417"/>
      <w:r w:rsidRPr="00B541BE">
        <w:rPr>
          <w:rFonts w:eastAsia="Times New Roman"/>
        </w:rPr>
        <w:t>1.2 Statement of the Problem</w:t>
      </w:r>
      <w:bookmarkEnd w:id="7"/>
    </w:p>
    <w:p w14:paraId="3EF4D243" w14:textId="56A02BBA"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Many families in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 rely on remittance as their main source of income. Despite its importance, there is limited understanding of how remittance affects household expenditure and economic stability. The main problem is that families may not use remittance in the most effective way to improve their living conditions and contribute to local development. This can lead to dependency on external income, misuse of funds, and neglect of local opportunities for economic growth </w:t>
      </w:r>
      <w:r w:rsidR="00750B3D" w:rsidRPr="00750B3D">
        <w:rPr>
          <w:rFonts w:eastAsia="Times New Roman" w:cs="Times New Roman"/>
          <w:color w:val="auto"/>
          <w:szCs w:val="24"/>
        </w:rPr>
        <w:t>(</w:t>
      </w:r>
      <w:proofErr w:type="spellStart"/>
      <w:r w:rsidR="00750B3D" w:rsidRPr="00750B3D">
        <w:rPr>
          <w:rFonts w:eastAsia="Times New Roman" w:cs="Times New Roman"/>
          <w:color w:val="auto"/>
          <w:szCs w:val="24"/>
        </w:rPr>
        <w:t>Bezabh</w:t>
      </w:r>
      <w:proofErr w:type="spellEnd"/>
      <w:r w:rsidR="00750B3D" w:rsidRPr="00750B3D">
        <w:rPr>
          <w:rFonts w:eastAsia="Times New Roman" w:cs="Times New Roman"/>
          <w:color w:val="auto"/>
          <w:szCs w:val="24"/>
        </w:rPr>
        <w:t xml:space="preserve"> &amp; Kumar, 2020)</w:t>
      </w:r>
      <w:r w:rsidR="00750B3D">
        <w:rPr>
          <w:rFonts w:eastAsia="Times New Roman" w:cs="Times New Roman"/>
          <w:color w:val="auto"/>
          <w:szCs w:val="24"/>
        </w:rPr>
        <w:t>.</w:t>
      </w:r>
    </w:p>
    <w:p w14:paraId="51331AD9" w14:textId="79B71ABD"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Moreover, the challenges faced by families in managing remittance are not well-documented. These challenges include lack of financial literacy, limited access to banking services, and social pressures to spend money on non-productive activities. Without proper guidance and support, families may struggle to make the best use of remittance for their long-term benefit </w:t>
      </w:r>
      <w:r w:rsidR="00750B3D" w:rsidRPr="00750B3D">
        <w:rPr>
          <w:rFonts w:eastAsia="Times New Roman" w:cs="Times New Roman"/>
          <w:color w:val="auto"/>
          <w:szCs w:val="24"/>
        </w:rPr>
        <w:t>(</w:t>
      </w:r>
      <w:proofErr w:type="spellStart"/>
      <w:r w:rsidR="00750B3D" w:rsidRPr="00750B3D">
        <w:rPr>
          <w:rFonts w:eastAsia="Times New Roman" w:cs="Times New Roman"/>
          <w:color w:val="auto"/>
          <w:szCs w:val="24"/>
        </w:rPr>
        <w:t>Saguin</w:t>
      </w:r>
      <w:proofErr w:type="spellEnd"/>
      <w:r w:rsidR="00750B3D" w:rsidRPr="00750B3D">
        <w:rPr>
          <w:rFonts w:eastAsia="Times New Roman" w:cs="Times New Roman"/>
          <w:color w:val="auto"/>
          <w:szCs w:val="24"/>
        </w:rPr>
        <w:t>, 2020)</w:t>
      </w:r>
      <w:r w:rsidR="00750B3D">
        <w:rPr>
          <w:rFonts w:eastAsia="Times New Roman" w:cs="Times New Roman"/>
          <w:color w:val="auto"/>
          <w:szCs w:val="24"/>
        </w:rPr>
        <w:t>.</w:t>
      </w:r>
    </w:p>
    <w:p w14:paraId="3A99249A" w14:textId="77777777" w:rsidR="008B0067"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There is a need for a detailed study to understand how remittance is used by households in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 the impact it has on their living standards, and the challenges they face in managing these funds. This will help to identify the areas </w:t>
      </w:r>
      <w:r w:rsidRPr="00B541BE">
        <w:rPr>
          <w:rFonts w:eastAsia="Times New Roman" w:cs="Times New Roman"/>
          <w:color w:val="auto"/>
          <w:szCs w:val="24"/>
        </w:rPr>
        <w:lastRenderedPageBreak/>
        <w:t>where families need more support and provide recommendations for better use of remittance to promote local development.</w:t>
      </w:r>
    </w:p>
    <w:p w14:paraId="4039C398" w14:textId="2DE80F21" w:rsidR="00450DB4" w:rsidRPr="008B0067" w:rsidRDefault="00450DB4" w:rsidP="007B1BDB">
      <w:pPr>
        <w:spacing w:before="100" w:beforeAutospacing="1" w:after="100" w:afterAutospacing="1" w:line="360" w:lineRule="auto"/>
        <w:rPr>
          <w:rFonts w:eastAsia="Times New Roman" w:cs="Times New Roman"/>
          <w:color w:val="auto"/>
          <w:szCs w:val="24"/>
        </w:rPr>
      </w:pPr>
      <w:r>
        <w:rPr>
          <w:rFonts w:eastAsia="Times New Roman" w:cs="Times New Roman"/>
          <w:b/>
          <w:bCs/>
          <w:color w:val="auto"/>
          <w:szCs w:val="24"/>
        </w:rPr>
        <w:t>1.3 Research questions</w:t>
      </w:r>
    </w:p>
    <w:p w14:paraId="255DB026" w14:textId="201E09F4" w:rsidR="00450DB4" w:rsidRDefault="008B0067" w:rsidP="00450DB4">
      <w:p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 xml:space="preserve"> </w:t>
      </w:r>
      <w:r w:rsidR="00450DB4">
        <w:rPr>
          <w:rFonts w:eastAsia="Times New Roman" w:cs="Times New Roman"/>
          <w:color w:val="auto"/>
          <w:szCs w:val="24"/>
        </w:rPr>
        <w:t>1.To study what is the amount of average remittance received by household.</w:t>
      </w:r>
    </w:p>
    <w:p w14:paraId="6B2BA415" w14:textId="496E0FBA" w:rsidR="00450DB4" w:rsidRDefault="00450DB4" w:rsidP="00450DB4">
      <w:p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2. How much money is spent on basic needs, education, housing condition, festival and weddings, and investment .</w:t>
      </w:r>
    </w:p>
    <w:p w14:paraId="1C92D890" w14:textId="492C1A3C" w:rsidR="00450DB4" w:rsidRDefault="00450DB4" w:rsidP="00450DB4">
      <w:p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3.How often do they receive remittance.</w:t>
      </w:r>
    </w:p>
    <w:p w14:paraId="1A40B356" w14:textId="6E6337D7" w:rsidR="00450DB4" w:rsidRDefault="00450DB4" w:rsidP="00450DB4">
      <w:p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4. Do remittance improve their living standards</w:t>
      </w:r>
    </w:p>
    <w:p w14:paraId="23C7A159" w14:textId="74E58077" w:rsidR="00450DB4" w:rsidRDefault="00450DB4" w:rsidP="00450DB4">
      <w:p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5. Has remittance improve their access to health care.</w:t>
      </w:r>
    </w:p>
    <w:p w14:paraId="3EAF0B85" w14:textId="63687A2A" w:rsidR="00450DB4" w:rsidRDefault="00450DB4" w:rsidP="00450DB4">
      <w:p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6.How much money is saved and invested.</w:t>
      </w:r>
    </w:p>
    <w:p w14:paraId="026274CB" w14:textId="3257F0F1" w:rsidR="00450DB4" w:rsidRDefault="00450DB4" w:rsidP="00450DB4">
      <w:p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7. Are they satisfied with the role of remittance in household economy.</w:t>
      </w:r>
    </w:p>
    <w:p w14:paraId="4477713E" w14:textId="6FC646E6" w:rsidR="00450DB4" w:rsidRPr="00450DB4" w:rsidRDefault="00450DB4" w:rsidP="00450DB4">
      <w:p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8. Has their expenditure on health, education, basic needs, increased after receiving remittance</w:t>
      </w:r>
    </w:p>
    <w:p w14:paraId="59DBF5E6" w14:textId="77777777" w:rsidR="00450DB4" w:rsidRPr="00B541BE" w:rsidRDefault="00450DB4" w:rsidP="007B1BDB">
      <w:pPr>
        <w:spacing w:before="100" w:beforeAutospacing="1" w:after="100" w:afterAutospacing="1" w:line="360" w:lineRule="auto"/>
        <w:rPr>
          <w:rFonts w:eastAsia="Times New Roman" w:cs="Times New Roman"/>
          <w:color w:val="auto"/>
          <w:szCs w:val="24"/>
        </w:rPr>
      </w:pPr>
    </w:p>
    <w:p w14:paraId="1AE98580" w14:textId="6270779F" w:rsidR="00B541BE" w:rsidRPr="00B541BE" w:rsidRDefault="00B541BE" w:rsidP="007B1BDB">
      <w:pPr>
        <w:pStyle w:val="Heading2"/>
        <w:rPr>
          <w:rFonts w:eastAsia="Times New Roman"/>
        </w:rPr>
      </w:pPr>
      <w:bookmarkStart w:id="8" w:name="_Toc171485418"/>
      <w:r w:rsidRPr="00B541BE">
        <w:rPr>
          <w:rFonts w:eastAsia="Times New Roman"/>
        </w:rPr>
        <w:t>1.</w:t>
      </w:r>
      <w:r w:rsidR="00450DB4">
        <w:rPr>
          <w:rFonts w:eastAsia="Times New Roman"/>
        </w:rPr>
        <w:t>4</w:t>
      </w:r>
      <w:r w:rsidRPr="00B541BE">
        <w:rPr>
          <w:rFonts w:eastAsia="Times New Roman"/>
        </w:rPr>
        <w:t xml:space="preserve"> Objectives of the Study</w:t>
      </w:r>
      <w:bookmarkEnd w:id="8"/>
    </w:p>
    <w:p w14:paraId="0BB33A9F" w14:textId="2ADA26BB" w:rsidR="00B541BE" w:rsidRPr="00B541BE" w:rsidRDefault="00B541BE" w:rsidP="007B1BDB">
      <w:pPr>
        <w:numPr>
          <w:ilvl w:val="0"/>
          <w:numId w:val="1"/>
        </w:num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To </w:t>
      </w:r>
      <w:r w:rsidR="005E7D88">
        <w:rPr>
          <w:rFonts w:eastAsia="Times New Roman" w:cs="Times New Roman"/>
          <w:color w:val="auto"/>
          <w:szCs w:val="24"/>
        </w:rPr>
        <w:t>study</w:t>
      </w:r>
      <w:r w:rsidRPr="00B541BE">
        <w:rPr>
          <w:rFonts w:eastAsia="Times New Roman" w:cs="Times New Roman"/>
          <w:color w:val="auto"/>
          <w:szCs w:val="24"/>
        </w:rPr>
        <w:t xml:space="preserve"> the remittance received by households in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w:t>
      </w:r>
      <w:r w:rsidR="006E7A6C">
        <w:rPr>
          <w:rFonts w:eastAsia="Times New Roman" w:cs="Times New Roman"/>
          <w:color w:val="auto"/>
          <w:szCs w:val="24"/>
        </w:rPr>
        <w:t xml:space="preserve"> by survey</w:t>
      </w:r>
      <w:r w:rsidRPr="00B541BE">
        <w:rPr>
          <w:rFonts w:eastAsia="Times New Roman" w:cs="Times New Roman"/>
          <w:color w:val="auto"/>
          <w:szCs w:val="24"/>
        </w:rPr>
        <w:t>.</w:t>
      </w:r>
    </w:p>
    <w:p w14:paraId="75DCA54C" w14:textId="53BFB8F2" w:rsidR="00B541BE" w:rsidRPr="00B541BE" w:rsidRDefault="00B541BE" w:rsidP="007B1BDB">
      <w:pPr>
        <w:numPr>
          <w:ilvl w:val="0"/>
          <w:numId w:val="1"/>
        </w:num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To analyze the </w:t>
      </w:r>
      <w:r w:rsidR="00450DB4">
        <w:rPr>
          <w:rFonts w:eastAsia="Times New Roman" w:cs="Times New Roman"/>
          <w:color w:val="auto"/>
          <w:szCs w:val="24"/>
        </w:rPr>
        <w:t xml:space="preserve">role </w:t>
      </w:r>
      <w:r w:rsidRPr="00B541BE">
        <w:rPr>
          <w:rFonts w:eastAsia="Times New Roman" w:cs="Times New Roman"/>
          <w:color w:val="auto"/>
          <w:szCs w:val="24"/>
        </w:rPr>
        <w:t>of remittance on household expenditure patterns, including basic needs, education, healthcare, savings, debt repayment, and social/cultural activities.</w:t>
      </w:r>
    </w:p>
    <w:p w14:paraId="2CBE5603" w14:textId="2A70C200" w:rsidR="00B541BE" w:rsidRPr="00B541BE" w:rsidRDefault="00B541BE" w:rsidP="007B1BDB">
      <w:pPr>
        <w:numPr>
          <w:ilvl w:val="0"/>
          <w:numId w:val="1"/>
        </w:num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To evaluate the overall effect of remittance on the economic </w:t>
      </w:r>
      <w:r w:rsidR="008B0067">
        <w:rPr>
          <w:rFonts w:eastAsia="Times New Roman" w:cs="Times New Roman"/>
          <w:color w:val="auto"/>
          <w:szCs w:val="24"/>
        </w:rPr>
        <w:t>status</w:t>
      </w:r>
      <w:r w:rsidRPr="00B541BE">
        <w:rPr>
          <w:rFonts w:eastAsia="Times New Roman" w:cs="Times New Roman"/>
          <w:color w:val="auto"/>
          <w:szCs w:val="24"/>
        </w:rPr>
        <w:t xml:space="preserve"> and living standards of households in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w:t>
      </w:r>
    </w:p>
    <w:p w14:paraId="1CF67F3E" w14:textId="08945C59" w:rsidR="00B541BE" w:rsidRPr="00B541BE" w:rsidRDefault="00B541BE" w:rsidP="007B1BDB">
      <w:pPr>
        <w:pStyle w:val="Heading2"/>
        <w:rPr>
          <w:rFonts w:eastAsia="Times New Roman"/>
        </w:rPr>
      </w:pPr>
      <w:bookmarkStart w:id="9" w:name="_Toc171485419"/>
      <w:r w:rsidRPr="00B541BE">
        <w:rPr>
          <w:rFonts w:eastAsia="Times New Roman"/>
        </w:rPr>
        <w:t>1.</w:t>
      </w:r>
      <w:r w:rsidR="00450DB4">
        <w:rPr>
          <w:rFonts w:eastAsia="Times New Roman"/>
        </w:rPr>
        <w:t>5</w:t>
      </w:r>
      <w:r w:rsidRPr="00B541BE">
        <w:rPr>
          <w:rFonts w:eastAsia="Times New Roman"/>
        </w:rPr>
        <w:t xml:space="preserve"> Significance of the Study</w:t>
      </w:r>
      <w:bookmarkEnd w:id="9"/>
    </w:p>
    <w:p w14:paraId="377C324F" w14:textId="5F82CC33"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This study is significant for several reasons. First, it provides a detailed understanding of how remittance is used by households in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 and its impact on their living standards. This information is important for policymakers, </w:t>
      </w:r>
      <w:r w:rsidRPr="00B541BE">
        <w:rPr>
          <w:rFonts w:eastAsia="Times New Roman" w:cs="Times New Roman"/>
          <w:color w:val="auto"/>
          <w:szCs w:val="24"/>
        </w:rPr>
        <w:lastRenderedPageBreak/>
        <w:t>development agencies, and local government to design effective programs and policies to support families in managing remittance</w:t>
      </w:r>
      <w:r w:rsidR="00750B3D">
        <w:rPr>
          <w:rFonts w:eastAsia="Times New Roman" w:cs="Times New Roman"/>
          <w:color w:val="auto"/>
          <w:szCs w:val="24"/>
        </w:rPr>
        <w:t>.</w:t>
      </w:r>
    </w:p>
    <w:p w14:paraId="32A2D0CC" w14:textId="2F0058D2"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Second, the study identifies the challenges faced by families in using remittance effectively. This helps to provide targeted support and guidance to improve financial literacy, access to banking services, and use of remittance for productive activities. By addressing these challenges, families can make better use of remittance to improve their economic stability and contribute to local development</w:t>
      </w:r>
      <w:r w:rsidR="00750B3D">
        <w:rPr>
          <w:rFonts w:eastAsia="Times New Roman" w:cs="Times New Roman"/>
          <w:color w:val="auto"/>
          <w:szCs w:val="24"/>
        </w:rPr>
        <w:t>.</w:t>
      </w:r>
    </w:p>
    <w:p w14:paraId="2B31029E" w14:textId="77777777"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Finally, the study provides recommendations for better use of remittance to promote sustainable economic development in rural areas. This includes strategies for improving financial management, investing in local opportunities, and reducing dependency on external income. The findings of this study will help to create a more resilient and self-reliant local economy in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w:t>
      </w:r>
    </w:p>
    <w:p w14:paraId="123E3F71" w14:textId="1117B6FB" w:rsidR="00B541BE" w:rsidRPr="00B541BE" w:rsidRDefault="00B541BE" w:rsidP="007B1BDB">
      <w:pPr>
        <w:pStyle w:val="Heading2"/>
        <w:rPr>
          <w:rFonts w:eastAsia="Times New Roman"/>
        </w:rPr>
      </w:pPr>
      <w:bookmarkStart w:id="10" w:name="_Toc171485420"/>
      <w:r w:rsidRPr="00B541BE">
        <w:rPr>
          <w:rFonts w:eastAsia="Times New Roman"/>
        </w:rPr>
        <w:t>1.</w:t>
      </w:r>
      <w:r w:rsidR="009C6E5C">
        <w:rPr>
          <w:rFonts w:eastAsia="Times New Roman"/>
        </w:rPr>
        <w:t>6</w:t>
      </w:r>
      <w:r w:rsidRPr="00B541BE">
        <w:rPr>
          <w:rFonts w:eastAsia="Times New Roman"/>
        </w:rPr>
        <w:t xml:space="preserve"> Limitations of the Study</w:t>
      </w:r>
      <w:bookmarkEnd w:id="10"/>
    </w:p>
    <w:p w14:paraId="791495EF" w14:textId="77777777"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This study has some limitations. First, it focuses only on households in Arjun </w:t>
      </w:r>
      <w:proofErr w:type="spellStart"/>
      <w:r w:rsidRPr="00B541BE">
        <w:rPr>
          <w:rFonts w:eastAsia="Times New Roman" w:cs="Times New Roman"/>
          <w:color w:val="auto"/>
          <w:szCs w:val="24"/>
        </w:rPr>
        <w:t>Chaupari</w:t>
      </w:r>
      <w:proofErr w:type="spellEnd"/>
      <w:r w:rsidRPr="00B541BE">
        <w:rPr>
          <w:rFonts w:eastAsia="Times New Roman" w:cs="Times New Roman"/>
          <w:color w:val="auto"/>
          <w:szCs w:val="24"/>
        </w:rPr>
        <w:t xml:space="preserve"> Rural Municipality, so the findings may not be applicable to other areas. Second, the study relies on self-reported data from households, which may be subject to bias or inaccuracies. Third, the study does not explore the long-term impact of remittance on household economy, as it is based on a cross-sectional survey.</w:t>
      </w:r>
    </w:p>
    <w:p w14:paraId="25C8E165" w14:textId="77777777"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Despite these limitations, the study provides valuable insights into the role of remittance in household economy and offers practical recommendations for better use of remittance to improve living standards and promote local development.</w:t>
      </w:r>
    </w:p>
    <w:p w14:paraId="267BA501" w14:textId="5B49A732" w:rsidR="00B541BE" w:rsidRPr="00B541BE" w:rsidRDefault="00B541BE" w:rsidP="007B1BDB">
      <w:pPr>
        <w:pStyle w:val="Heading2"/>
        <w:rPr>
          <w:rFonts w:eastAsia="Times New Roman"/>
        </w:rPr>
      </w:pPr>
      <w:bookmarkStart w:id="11" w:name="_Toc171485421"/>
      <w:r w:rsidRPr="00B541BE">
        <w:rPr>
          <w:rFonts w:eastAsia="Times New Roman"/>
        </w:rPr>
        <w:t>1.</w:t>
      </w:r>
      <w:r w:rsidR="00BB71E1">
        <w:rPr>
          <w:rFonts w:eastAsia="Times New Roman"/>
        </w:rPr>
        <w:t>7</w:t>
      </w:r>
      <w:r w:rsidRPr="00B541BE">
        <w:rPr>
          <w:rFonts w:eastAsia="Times New Roman"/>
        </w:rPr>
        <w:t xml:space="preserve"> Organization of the Study</w:t>
      </w:r>
      <w:bookmarkEnd w:id="11"/>
    </w:p>
    <w:p w14:paraId="7075CB83" w14:textId="77777777"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 xml:space="preserve">This study is organized into five chapters. Chapter 1 provides an introduction to the study, including the background, statement of the problem, objectives, significance, limitations, and organization of the study. Chapter 2 reviews the relevant literature on remittance and household economy. Chapter 3 describes the research methodology, including the study area, sample size, data collection methods, and data analysis techniques. Chapter 4 presents the findings of the study, including the extent and frequency of remittance received, its impact on household expenditure, and the </w:t>
      </w:r>
      <w:r w:rsidRPr="00B541BE">
        <w:rPr>
          <w:rFonts w:eastAsia="Times New Roman" w:cs="Times New Roman"/>
          <w:color w:val="auto"/>
          <w:szCs w:val="24"/>
        </w:rPr>
        <w:lastRenderedPageBreak/>
        <w:t>challenges faced by families in managing remittance. Chapter 5 provides conclusions and recommendations based on the findings of the study.</w:t>
      </w:r>
    </w:p>
    <w:p w14:paraId="720D4A9C" w14:textId="77777777" w:rsidR="00B541BE" w:rsidRPr="00B541BE" w:rsidRDefault="00B541BE" w:rsidP="007B1BDB">
      <w:pPr>
        <w:spacing w:before="100" w:beforeAutospacing="1" w:after="100" w:afterAutospacing="1" w:line="360" w:lineRule="auto"/>
        <w:rPr>
          <w:rFonts w:eastAsia="Times New Roman" w:cs="Times New Roman"/>
          <w:color w:val="auto"/>
          <w:szCs w:val="24"/>
        </w:rPr>
      </w:pPr>
      <w:r w:rsidRPr="00B541BE">
        <w:rPr>
          <w:rFonts w:eastAsia="Times New Roman" w:cs="Times New Roman"/>
          <w:color w:val="auto"/>
          <w:szCs w:val="24"/>
        </w:rPr>
        <w:t>By following this structure, the study aims to provide a comprehensive understanding of the role of remittance in household economy and offer practical recommendations for improving the use of remittance to promote local development.</w:t>
      </w:r>
    </w:p>
    <w:p w14:paraId="38B4DC86" w14:textId="3B5C3CF1" w:rsidR="00B541BE" w:rsidRDefault="00B541BE" w:rsidP="007B1BDB">
      <w:pPr>
        <w:spacing w:line="360" w:lineRule="auto"/>
      </w:pPr>
    </w:p>
    <w:p w14:paraId="5C9ABC6C" w14:textId="373B5107" w:rsidR="00750B3D" w:rsidRDefault="00750B3D" w:rsidP="007B1BDB">
      <w:pPr>
        <w:spacing w:line="360" w:lineRule="auto"/>
      </w:pPr>
    </w:p>
    <w:p w14:paraId="79A0528E" w14:textId="168C09B3" w:rsidR="00750B3D" w:rsidRDefault="00750B3D" w:rsidP="007B1BDB">
      <w:pPr>
        <w:spacing w:line="360" w:lineRule="auto"/>
      </w:pPr>
    </w:p>
    <w:p w14:paraId="155CD21A" w14:textId="24F4DA28" w:rsidR="00750B3D" w:rsidRDefault="00750B3D" w:rsidP="007B1BDB">
      <w:pPr>
        <w:spacing w:line="360" w:lineRule="auto"/>
        <w:jc w:val="left"/>
      </w:pPr>
      <w:r>
        <w:br w:type="page"/>
      </w:r>
    </w:p>
    <w:p w14:paraId="51F5EFC2" w14:textId="31B7EDEE" w:rsidR="00312517" w:rsidRPr="00093A6E" w:rsidRDefault="00093A6E" w:rsidP="007B1BDB">
      <w:pPr>
        <w:pStyle w:val="Heading1"/>
        <w:rPr>
          <w:rFonts w:eastAsiaTheme="majorEastAsia"/>
        </w:rPr>
      </w:pPr>
      <w:bookmarkStart w:id="12" w:name="_Toc171485422"/>
      <w:r w:rsidRPr="00093A6E">
        <w:lastRenderedPageBreak/>
        <w:t>CHAPTER II</w:t>
      </w:r>
      <w:r w:rsidRPr="00093A6E">
        <w:br/>
      </w:r>
      <w:bookmarkEnd w:id="12"/>
      <w:r w:rsidR="00BB71E1">
        <w:t>REVIEW OF LITERATURE</w:t>
      </w:r>
    </w:p>
    <w:p w14:paraId="6BC62DE9" w14:textId="0DE3E3F7" w:rsidR="00312517" w:rsidRDefault="00312517" w:rsidP="007B1BDB">
      <w:pPr>
        <w:pStyle w:val="Heading2"/>
      </w:pPr>
      <w:bookmarkStart w:id="13" w:name="_Toc171485423"/>
      <w:r>
        <w:t xml:space="preserve">2.1 </w:t>
      </w:r>
      <w:bookmarkEnd w:id="13"/>
      <w:r w:rsidR="00BB71E1">
        <w:t>I</w:t>
      </w:r>
      <w:r w:rsidR="002D0D4E">
        <w:t>ntroduction</w:t>
      </w:r>
    </w:p>
    <w:p w14:paraId="6EE6B3F9" w14:textId="3B97E1F2" w:rsidR="0089185E" w:rsidRDefault="0089185E" w:rsidP="0089185E">
      <w:r>
        <w:t>This chapter is classified into for subheadings namely: theoretical review, conceptual review, empirical review, research gap, definition of variables, conceptual framework.</w:t>
      </w:r>
    </w:p>
    <w:p w14:paraId="1194C550" w14:textId="42121EAD" w:rsidR="0089185E" w:rsidRDefault="0089185E" w:rsidP="0089185E">
      <w:r>
        <w:t xml:space="preserve">In conceptual review theory related to remittance and links with economics. Theoretical reviews links with theories related to remittance expenditure, on remittance, new economics of </w:t>
      </w:r>
      <w:proofErr w:type="spellStart"/>
      <w:r>
        <w:t>labour</w:t>
      </w:r>
      <w:proofErr w:type="spellEnd"/>
      <w:r>
        <w:t xml:space="preserve"> migration sustainable livelihoods approach, etc.</w:t>
      </w:r>
    </w:p>
    <w:p w14:paraId="58B8BC06" w14:textId="15659F82" w:rsidR="0089185E" w:rsidRDefault="0089185E" w:rsidP="0089185E">
      <w:r>
        <w:t xml:space="preserve">Empirical review show the households income and </w:t>
      </w:r>
      <w:proofErr w:type="spellStart"/>
      <w:r>
        <w:t>proverty</w:t>
      </w:r>
      <w:proofErr w:type="spellEnd"/>
      <w:r>
        <w:t xml:space="preserve"> impact on education, healthcare, saving and investment challenges in managing remittance</w:t>
      </w:r>
      <w:r w:rsidR="00D709B4">
        <w:t>, impact on local economics are discussed.</w:t>
      </w:r>
    </w:p>
    <w:p w14:paraId="7AC6B5DF" w14:textId="343C295E" w:rsidR="00F04617" w:rsidRPr="0089185E" w:rsidRDefault="00F04617" w:rsidP="0089185E">
      <w:r>
        <w:t xml:space="preserve">The conceptual framework shows how remittance affects household expenditure in Arjun </w:t>
      </w:r>
      <w:proofErr w:type="spellStart"/>
      <w:r>
        <w:t>Chaupari</w:t>
      </w:r>
      <w:proofErr w:type="spellEnd"/>
      <w:r>
        <w:t xml:space="preserve"> Rural Municipality. Remittance is money sent by family members working abroad. It is the independent variable in this study.</w:t>
      </w:r>
    </w:p>
    <w:p w14:paraId="1FFECE15" w14:textId="77777777" w:rsidR="00261D77" w:rsidRPr="00261D77" w:rsidRDefault="00261D77" w:rsidP="00261D77"/>
    <w:p w14:paraId="282CFD90" w14:textId="77777777" w:rsidR="00312517" w:rsidRDefault="00312517" w:rsidP="007B1BDB">
      <w:pPr>
        <w:pStyle w:val="Heading2"/>
      </w:pPr>
      <w:bookmarkStart w:id="14" w:name="_Toc171485424"/>
      <w:r>
        <w:t>2.2 Theoretical Literature Review</w:t>
      </w:r>
      <w:bookmarkEnd w:id="14"/>
    </w:p>
    <w:p w14:paraId="6108441E" w14:textId="22A11C44" w:rsidR="00312517" w:rsidRDefault="00312517" w:rsidP="007B1BDB">
      <w:pPr>
        <w:pStyle w:val="NormalWeb"/>
        <w:spacing w:line="360" w:lineRule="auto"/>
        <w:jc w:val="both"/>
      </w:pPr>
      <w:r>
        <w:t xml:space="preserve">Two major theories are relevant to the study of remittance and household economy: </w:t>
      </w:r>
      <w:r w:rsidR="009209F5">
        <w:t>The</w:t>
      </w:r>
      <w:r>
        <w:t xml:space="preserve"> New Economics of Labor Migration (NELM) and the Sustainable Livelihoods Approach (SLA).</w:t>
      </w:r>
    </w:p>
    <w:p w14:paraId="152A25B1" w14:textId="4192FC00" w:rsidR="00312517" w:rsidRPr="00004D82" w:rsidRDefault="00004D82" w:rsidP="00A83E8B">
      <w:pPr>
        <w:pStyle w:val="Heading3"/>
        <w:rPr>
          <w:bCs/>
        </w:rPr>
      </w:pPr>
      <w:bookmarkStart w:id="15" w:name="_Toc171485425"/>
      <w:r w:rsidRPr="00004D82">
        <w:rPr>
          <w:rStyle w:val="Strong"/>
          <w:b/>
          <w:bCs w:val="0"/>
        </w:rPr>
        <w:t>2.2.1.</w:t>
      </w:r>
      <w:r w:rsidR="00312517" w:rsidRPr="00004D82">
        <w:rPr>
          <w:rStyle w:val="Strong"/>
          <w:b/>
          <w:bCs w:val="0"/>
        </w:rPr>
        <w:t xml:space="preserve"> </w:t>
      </w:r>
      <w:r w:rsidR="00312517" w:rsidRPr="00BC1C67">
        <w:rPr>
          <w:rStyle w:val="Strong"/>
          <w:b/>
          <w:bCs w:val="0"/>
        </w:rPr>
        <w:t>New</w:t>
      </w:r>
      <w:r w:rsidR="00312517" w:rsidRPr="00004D82">
        <w:rPr>
          <w:rStyle w:val="Strong"/>
          <w:b/>
          <w:bCs w:val="0"/>
        </w:rPr>
        <w:t xml:space="preserve"> Economics of Labor Migration (NELM)</w:t>
      </w:r>
      <w:bookmarkEnd w:id="15"/>
    </w:p>
    <w:p w14:paraId="0CF4B545" w14:textId="75ED58CE" w:rsidR="00312517" w:rsidRDefault="00312517" w:rsidP="007B1BDB">
      <w:pPr>
        <w:pStyle w:val="NormalWeb"/>
        <w:spacing w:line="360" w:lineRule="auto"/>
        <w:jc w:val="both"/>
      </w:pPr>
      <w:r>
        <w:t>The NELM theory suggests that migration is a household decision rather than an individual one</w:t>
      </w:r>
      <w:r w:rsidR="009209F5" w:rsidRPr="009209F5">
        <w:t xml:space="preserve"> (Karpestam &amp; Andersson, 2019)</w:t>
      </w:r>
      <w:r>
        <w:t>. Families send members abroad to diversify their income sources and reduce risks associated with local economic conditions</w:t>
      </w:r>
      <w:r w:rsidR="009209F5" w:rsidRPr="009209F5">
        <w:t xml:space="preserve"> (Seidu &amp; Onel, 2015)</w:t>
      </w:r>
      <w:r>
        <w:t>. Remittance is seen as a way to support the family and improve their economic situation</w:t>
      </w:r>
      <w:r w:rsidR="009209F5" w:rsidRPr="009209F5">
        <w:t xml:space="preserve"> (Zewdu, 2014)</w:t>
      </w:r>
      <w:r>
        <w:t>.</w:t>
      </w:r>
    </w:p>
    <w:p w14:paraId="22DAD3DC" w14:textId="651B4B21" w:rsidR="00312517" w:rsidRDefault="00312517" w:rsidP="007B1BDB">
      <w:pPr>
        <w:pStyle w:val="NormalWeb"/>
        <w:spacing w:line="360" w:lineRule="auto"/>
        <w:jc w:val="both"/>
      </w:pPr>
      <w:r>
        <w:t>NELM emphasizes the role of remittance in reducing poverty and improving household welfare</w:t>
      </w:r>
      <w:r w:rsidR="009209F5" w:rsidRPr="009209F5">
        <w:t xml:space="preserve"> (Sana &amp; Massey, 2005)</w:t>
      </w:r>
      <w:r>
        <w:t>. It also highlights the importance of remittance in financing investments in education, health, and small businesses</w:t>
      </w:r>
      <w:r w:rsidR="009209F5" w:rsidRPr="009209F5">
        <w:t xml:space="preserve"> (</w:t>
      </w:r>
      <w:proofErr w:type="spellStart"/>
      <w:r w:rsidR="009209F5" w:rsidRPr="009209F5">
        <w:t>Anamoa-Pokoo</w:t>
      </w:r>
      <w:proofErr w:type="spellEnd"/>
      <w:r w:rsidR="009209F5" w:rsidRPr="009209F5">
        <w:t>, 2016)</w:t>
      </w:r>
      <w:r>
        <w:t>. According to this theory, remittance can lead to positive changes in household economy by providing a stable source of income and reducing vulnerabilities</w:t>
      </w:r>
      <w:r w:rsidR="009209F5" w:rsidRPr="009209F5">
        <w:t xml:space="preserve"> (Nepal, 2013)</w:t>
      </w:r>
      <w:r>
        <w:t>.</w:t>
      </w:r>
    </w:p>
    <w:p w14:paraId="3FFE76D0" w14:textId="02BD8DCA" w:rsidR="00312517" w:rsidRPr="00004D82" w:rsidRDefault="00004D82" w:rsidP="00A83E8B">
      <w:pPr>
        <w:pStyle w:val="Heading3"/>
        <w:rPr>
          <w:bCs/>
        </w:rPr>
      </w:pPr>
      <w:bookmarkStart w:id="16" w:name="_Toc171485426"/>
      <w:r w:rsidRPr="00004D82">
        <w:rPr>
          <w:rStyle w:val="Strong"/>
          <w:b/>
          <w:bCs w:val="0"/>
        </w:rPr>
        <w:lastRenderedPageBreak/>
        <w:t>2.2.</w:t>
      </w:r>
      <w:r w:rsidR="00312517" w:rsidRPr="00004D82">
        <w:rPr>
          <w:rStyle w:val="Strong"/>
          <w:b/>
          <w:bCs w:val="0"/>
        </w:rPr>
        <w:t>2. Sustainable Livelihoods Approach (SLA)</w:t>
      </w:r>
      <w:bookmarkEnd w:id="16"/>
    </w:p>
    <w:p w14:paraId="2020E5E0" w14:textId="5CCFECA7" w:rsidR="00312517" w:rsidRDefault="00312517" w:rsidP="007B1BDB">
      <w:pPr>
        <w:pStyle w:val="NormalWeb"/>
        <w:spacing w:line="360" w:lineRule="auto"/>
        <w:jc w:val="both"/>
      </w:pPr>
      <w:r>
        <w:t>The SLA theory focuses on the strategies that households use to achieve sustainable livelihoods</w:t>
      </w:r>
      <w:r w:rsidR="009209F5" w:rsidRPr="009209F5">
        <w:t xml:space="preserve"> (Morse &amp; </w:t>
      </w:r>
      <w:proofErr w:type="spellStart"/>
      <w:r w:rsidR="009209F5" w:rsidRPr="009209F5">
        <w:t>Mcnamara</w:t>
      </w:r>
      <w:proofErr w:type="spellEnd"/>
      <w:r w:rsidR="009209F5" w:rsidRPr="009209F5">
        <w:t>, 2013)</w:t>
      </w:r>
      <w:r>
        <w:t>. It considers various assets such as human, social, financial, natural, and physical capital</w:t>
      </w:r>
      <w:r w:rsidR="009209F5" w:rsidRPr="009209F5">
        <w:t xml:space="preserve"> (Ali, 2011)</w:t>
      </w:r>
      <w:r>
        <w:t>. Remittance is viewed as an important financial asset that can enhance household resilience and sustainability</w:t>
      </w:r>
      <w:r w:rsidR="009209F5" w:rsidRPr="009209F5">
        <w:t xml:space="preserve"> (Sikder &amp; Higgins, 2022)</w:t>
      </w:r>
      <w:r>
        <w:t>.</w:t>
      </w:r>
    </w:p>
    <w:p w14:paraId="291F93D3" w14:textId="5F534343" w:rsidR="00312517" w:rsidRDefault="00312517" w:rsidP="007B1BDB">
      <w:pPr>
        <w:pStyle w:val="NormalWeb"/>
        <w:spacing w:line="360" w:lineRule="auto"/>
        <w:jc w:val="both"/>
      </w:pPr>
      <w:r>
        <w:t>SLA emphasizes the need for households to use remittance strategically to build and maintain their livelihoods</w:t>
      </w:r>
      <w:r w:rsidR="009209F5" w:rsidRPr="009209F5">
        <w:t xml:space="preserve"> (Hussein, 2002)</w:t>
      </w:r>
      <w:r>
        <w:t>. This includes investing in education and health, saving for future needs, and diversifying income sources</w:t>
      </w:r>
      <w:r w:rsidR="00D561E2" w:rsidRPr="00D561E2">
        <w:t xml:space="preserve"> (Blomqvist, 2023)</w:t>
      </w:r>
      <w:r>
        <w:t>. The theory also highlights the role of social networks in facilitating remittance flows and supporting household welfare</w:t>
      </w:r>
      <w:r w:rsidR="00D561E2" w:rsidRPr="00D561E2">
        <w:t xml:space="preserve"> (Banerjee, 2017)</w:t>
      </w:r>
      <w:r>
        <w:t>.</w:t>
      </w:r>
    </w:p>
    <w:p w14:paraId="3B76CA23" w14:textId="6090BD3A" w:rsidR="00312517" w:rsidRDefault="00312517" w:rsidP="007B1BDB">
      <w:pPr>
        <w:pStyle w:val="NormalWeb"/>
        <w:spacing w:line="360" w:lineRule="auto"/>
        <w:jc w:val="both"/>
      </w:pPr>
      <w:r>
        <w:t>Both NELM and SLA provide valuable insights into the role of remittance in household economy</w:t>
      </w:r>
      <w:r w:rsidR="00D561E2" w:rsidRPr="00D561E2">
        <w:t xml:space="preserve"> (Nzima et al., 2017)</w:t>
      </w:r>
      <w:r>
        <w:t>. They emphasize the importance of remittance in improving household welfare and reducing vulnerabilities</w:t>
      </w:r>
      <w:r w:rsidR="00D561E2" w:rsidRPr="00D561E2">
        <w:t xml:space="preserve"> (Blomqvist, 2023)</w:t>
      </w:r>
      <w:r>
        <w:t>. They also highlight the need for strategic management of remittance to maximize its benefits</w:t>
      </w:r>
      <w:r w:rsidR="00D561E2" w:rsidRPr="00D561E2">
        <w:t xml:space="preserve"> (Nzima et al., 2016)</w:t>
      </w:r>
      <w:r>
        <w:t>.</w:t>
      </w:r>
    </w:p>
    <w:p w14:paraId="19ED9FC5" w14:textId="678D4ADF" w:rsidR="00BB71E1" w:rsidRDefault="00BB71E1" w:rsidP="007B1BDB">
      <w:pPr>
        <w:pStyle w:val="NormalWeb"/>
        <w:spacing w:line="360" w:lineRule="auto"/>
        <w:jc w:val="both"/>
        <w:rPr>
          <w:b/>
          <w:bCs/>
        </w:rPr>
      </w:pPr>
      <w:r w:rsidRPr="00BB71E1">
        <w:rPr>
          <w:b/>
          <w:bCs/>
        </w:rPr>
        <w:t>2.</w:t>
      </w:r>
      <w:r>
        <w:rPr>
          <w:b/>
          <w:bCs/>
        </w:rPr>
        <w:t xml:space="preserve">3 Conceptual Review </w:t>
      </w:r>
    </w:p>
    <w:p w14:paraId="223BC9F4" w14:textId="77777777" w:rsidR="002D0D4E" w:rsidRDefault="002D0D4E" w:rsidP="002D0D4E">
      <w:pPr>
        <w:pStyle w:val="NormalWeb"/>
        <w:spacing w:line="360" w:lineRule="auto"/>
        <w:jc w:val="both"/>
      </w:pPr>
      <w:r>
        <w:t>Remittance is the money sent by migrants to their home countries</w:t>
      </w:r>
      <w:r w:rsidRPr="00A93F52">
        <w:t xml:space="preserve"> (Ahmed et al., 2021)</w:t>
      </w:r>
      <w:r>
        <w:t>. It plays a vital role in the economies of developing nations</w:t>
      </w:r>
      <w:r w:rsidRPr="00A93F52">
        <w:t xml:space="preserve"> (Kim, 2021)</w:t>
      </w:r>
      <w:r>
        <w:t>. Many families depend on this income to meet their daily needs and improve their living conditions</w:t>
      </w:r>
      <w:r w:rsidRPr="00A93F52">
        <w:t xml:space="preserve"> (Mishra et al., 2022)</w:t>
      </w:r>
      <w:r>
        <w:t>. Remittance can be used for various purposes such as food, clothing, education, healthcare, savings, and investments.</w:t>
      </w:r>
    </w:p>
    <w:p w14:paraId="6ABF4CC9" w14:textId="77777777" w:rsidR="002D0D4E" w:rsidRDefault="002D0D4E" w:rsidP="002D0D4E">
      <w:pPr>
        <w:pStyle w:val="NormalWeb"/>
        <w:spacing w:line="360" w:lineRule="auto"/>
        <w:jc w:val="both"/>
      </w:pPr>
      <w:r>
        <w:t>The concept of remittance includes several key components</w:t>
      </w:r>
      <w:r w:rsidRPr="00A93F52">
        <w:t xml:space="preserve"> (Carling, 2020)</w:t>
      </w:r>
      <w:r>
        <w:t>. First, there is the sender, who is usually a family member working abroad</w:t>
      </w:r>
      <w:r w:rsidRPr="00A93F52">
        <w:t xml:space="preserve"> (Carling, 2020 </w:t>
      </w:r>
      <w:r>
        <w:t xml:space="preserve">) </w:t>
      </w:r>
      <w:r w:rsidRPr="00A93F52">
        <w:t>(Mahmud, 2020)</w:t>
      </w:r>
      <w:r>
        <w:t>. Second, there is the receiver, who is typically a family member in the home country</w:t>
      </w:r>
      <w:r w:rsidRPr="00A93F52">
        <w:t xml:space="preserve"> (Yeboah et al., 2021)</w:t>
      </w:r>
      <w:r>
        <w:t>. Third, there is the channel through which the money is sent, such as banks, money transfer services, or informal means</w:t>
      </w:r>
      <w:r w:rsidRPr="00A93F52">
        <w:t xml:space="preserve"> (Yeboah et al., 2021)</w:t>
      </w:r>
      <w:r>
        <w:t xml:space="preserve"> </w:t>
      </w:r>
      <w:r w:rsidRPr="00A93F52">
        <w:t>(Carling, 2020</w:t>
      </w:r>
      <w:r>
        <w:t xml:space="preserve">). Finally, there is the purpose for which the money is used </w:t>
      </w:r>
      <w:r w:rsidRPr="00A93F52">
        <w:t>(</w:t>
      </w:r>
      <w:proofErr w:type="spellStart"/>
      <w:r w:rsidRPr="00A93F52">
        <w:t>Niankara</w:t>
      </w:r>
      <w:proofErr w:type="spellEnd"/>
      <w:r w:rsidRPr="00A93F52">
        <w:t xml:space="preserve"> &amp; </w:t>
      </w:r>
      <w:proofErr w:type="spellStart"/>
      <w:r w:rsidRPr="00A93F52">
        <w:t>Traoret</w:t>
      </w:r>
      <w:proofErr w:type="spellEnd"/>
      <w:r w:rsidRPr="00A93F52">
        <w:t>, 2023)</w:t>
      </w:r>
      <w:r>
        <w:t>.</w:t>
      </w:r>
    </w:p>
    <w:p w14:paraId="47F1AF3C" w14:textId="77777777" w:rsidR="002D0D4E" w:rsidRDefault="002D0D4E" w:rsidP="002D0D4E">
      <w:pPr>
        <w:pStyle w:val="NormalWeb"/>
        <w:spacing w:line="360" w:lineRule="auto"/>
        <w:jc w:val="both"/>
      </w:pPr>
      <w:r>
        <w:lastRenderedPageBreak/>
        <w:t>Remittance can have both positive and negative effects</w:t>
      </w:r>
      <w:r w:rsidRPr="00A93F52">
        <w:t xml:space="preserve"> (Bird &amp; Choi, 2020)</w:t>
      </w:r>
      <w:r>
        <w:t>. On the positive side, it increases household income, reduces poverty, and improves access to education and healthcare</w:t>
      </w:r>
      <w:r w:rsidRPr="00A93F52">
        <w:t xml:space="preserve"> (Zhou et al., 2020)</w:t>
      </w:r>
      <w:r>
        <w:t>. It can also boost local economies by increasing demand for goods and services</w:t>
      </w:r>
      <w:r w:rsidRPr="00A93F52">
        <w:t xml:space="preserve"> (Mallick, 2020)</w:t>
      </w:r>
      <w:r>
        <w:t>. On the negative side, it can lead to dependency on external income and discourage local employment</w:t>
      </w:r>
      <w:r w:rsidRPr="00A93F52">
        <w:t xml:space="preserve"> (</w:t>
      </w:r>
      <w:proofErr w:type="spellStart"/>
      <w:r w:rsidRPr="00A93F52">
        <w:t>Aregbeshola</w:t>
      </w:r>
      <w:proofErr w:type="spellEnd"/>
      <w:r w:rsidRPr="00A93F52">
        <w:t>, 2022)</w:t>
      </w:r>
      <w:r>
        <w:t>. Some families may misuse remittance on non-productive activities, which can undermine its potential benefits</w:t>
      </w:r>
      <w:r w:rsidRPr="00A93F52">
        <w:t xml:space="preserve"> (Upadhyay, 2022)</w:t>
      </w:r>
      <w:r>
        <w:t>.</w:t>
      </w:r>
    </w:p>
    <w:p w14:paraId="1DDC6013" w14:textId="77777777" w:rsidR="002D0D4E" w:rsidRDefault="002D0D4E" w:rsidP="002D0D4E">
      <w:pPr>
        <w:pStyle w:val="NormalWeb"/>
        <w:spacing w:line="360" w:lineRule="auto"/>
        <w:jc w:val="both"/>
      </w:pPr>
      <w:r>
        <w:t xml:space="preserve">In the context of rural areas like Arjun </w:t>
      </w:r>
      <w:proofErr w:type="spellStart"/>
      <w:r>
        <w:t>Chaupari</w:t>
      </w:r>
      <w:proofErr w:type="spellEnd"/>
      <w:r>
        <w:t xml:space="preserve"> Rural Municipality, remittance is crucial for economic stability. Many households have limited sources of income, and remittance provides a lifeline. It helps to cover basic needs and also allows for investments in education and health, which are essential for long-term development.</w:t>
      </w:r>
    </w:p>
    <w:p w14:paraId="2A5E7320" w14:textId="77777777" w:rsidR="002D0D4E" w:rsidRDefault="002D0D4E" w:rsidP="002D0D4E">
      <w:pPr>
        <w:pStyle w:val="NormalWeb"/>
        <w:spacing w:line="360" w:lineRule="auto"/>
        <w:jc w:val="both"/>
      </w:pPr>
      <w:r>
        <w:t>The management of remittance is also important. Families need to use remittance wisely to maximize its benefits. This includes planning for long-term needs, saving, and investing in productive activities. Financial literacy and access to banking services are key factors in effective remittance management.</w:t>
      </w:r>
    </w:p>
    <w:p w14:paraId="04734B46" w14:textId="77777777" w:rsidR="002D0D4E" w:rsidRDefault="002D0D4E" w:rsidP="002D0D4E">
      <w:pPr>
        <w:pStyle w:val="NormalWeb"/>
        <w:spacing w:line="360" w:lineRule="auto"/>
        <w:jc w:val="both"/>
      </w:pPr>
      <w:r>
        <w:t>The concept of remittance is complex and multifaceted</w:t>
      </w:r>
      <w:r w:rsidRPr="009209F5">
        <w:t xml:space="preserve"> (</w:t>
      </w:r>
      <w:proofErr w:type="spellStart"/>
      <w:r w:rsidRPr="009209F5">
        <w:t>Guermond</w:t>
      </w:r>
      <w:proofErr w:type="spellEnd"/>
      <w:r w:rsidRPr="009209F5">
        <w:t>, 2022)</w:t>
      </w:r>
      <w:r>
        <w:t>. It involves various actors, channels, and purposes</w:t>
      </w:r>
      <w:r w:rsidRPr="009209F5">
        <w:t xml:space="preserve"> (</w:t>
      </w:r>
      <w:proofErr w:type="spellStart"/>
      <w:r w:rsidRPr="009209F5">
        <w:t>Boccagni</w:t>
      </w:r>
      <w:proofErr w:type="spellEnd"/>
      <w:r w:rsidRPr="009209F5">
        <w:t xml:space="preserve"> &amp; </w:t>
      </w:r>
      <w:proofErr w:type="spellStart"/>
      <w:r w:rsidRPr="009209F5">
        <w:t>Bivand</w:t>
      </w:r>
      <w:proofErr w:type="spellEnd"/>
      <w:r w:rsidRPr="009209F5">
        <w:t xml:space="preserve"> Erdal, 2021)</w:t>
      </w:r>
      <w:r>
        <w:t>. Understanding these components is essential for analyzing its impact on household economy and designing strategies to maximize its benefits</w:t>
      </w:r>
      <w:r w:rsidRPr="009209F5">
        <w:t xml:space="preserve"> (</w:t>
      </w:r>
      <w:proofErr w:type="spellStart"/>
      <w:r w:rsidRPr="009209F5">
        <w:t>Macisaac</w:t>
      </w:r>
      <w:proofErr w:type="spellEnd"/>
      <w:r w:rsidRPr="009209F5">
        <w:t>, 2021)</w:t>
      </w:r>
      <w:r>
        <w:t>.</w:t>
      </w:r>
    </w:p>
    <w:p w14:paraId="7A845B5A" w14:textId="77777777" w:rsidR="002D0D4E" w:rsidRDefault="002D0D4E" w:rsidP="007B1BDB">
      <w:pPr>
        <w:pStyle w:val="NormalWeb"/>
        <w:spacing w:line="360" w:lineRule="auto"/>
        <w:jc w:val="both"/>
        <w:rPr>
          <w:b/>
          <w:bCs/>
        </w:rPr>
      </w:pPr>
    </w:p>
    <w:p w14:paraId="7CC1B6AA" w14:textId="77777777" w:rsidR="002D0D4E" w:rsidRPr="002D0D4E" w:rsidRDefault="002D0D4E" w:rsidP="007B1BDB">
      <w:pPr>
        <w:pStyle w:val="NormalWeb"/>
        <w:spacing w:line="360" w:lineRule="auto"/>
        <w:jc w:val="both"/>
      </w:pPr>
    </w:p>
    <w:p w14:paraId="57357B4D" w14:textId="55406199" w:rsidR="00312517" w:rsidRDefault="00312517" w:rsidP="007B1BDB">
      <w:pPr>
        <w:pStyle w:val="Heading4"/>
        <w:spacing w:line="360" w:lineRule="auto"/>
        <w:jc w:val="both"/>
      </w:pPr>
      <w:r>
        <w:t>2.</w:t>
      </w:r>
      <w:r w:rsidR="00BB71E1">
        <w:t>4</w:t>
      </w:r>
      <w:r>
        <w:t xml:space="preserve"> Empirical Review</w:t>
      </w:r>
    </w:p>
    <w:p w14:paraId="39C829F7" w14:textId="17F26084" w:rsidR="00312517" w:rsidRDefault="00312517" w:rsidP="007B1BDB">
      <w:pPr>
        <w:pStyle w:val="NormalWeb"/>
        <w:spacing w:line="360" w:lineRule="auto"/>
        <w:jc w:val="both"/>
      </w:pPr>
      <w:r>
        <w:t>A large body of empirical literature has examined the impact of remittance on household economy. Studies have shown that remittance plays a significant role in improving living standards, reducing poverty, and promoting economic development</w:t>
      </w:r>
      <w:r w:rsidR="00D561E2">
        <w:t xml:space="preserve"> </w:t>
      </w:r>
      <w:r w:rsidR="00E80A0B" w:rsidRPr="00E80A0B">
        <w:t>(</w:t>
      </w:r>
      <w:proofErr w:type="spellStart"/>
      <w:r w:rsidR="00E80A0B" w:rsidRPr="00E80A0B">
        <w:t>Nduhura</w:t>
      </w:r>
      <w:proofErr w:type="spellEnd"/>
      <w:r w:rsidR="00E80A0B" w:rsidRPr="00E80A0B">
        <w:t xml:space="preserve"> et al., 2024) </w:t>
      </w:r>
      <w:r w:rsidR="00D561E2" w:rsidRPr="00D561E2">
        <w:t xml:space="preserve">(Ekanayake &amp; </w:t>
      </w:r>
      <w:proofErr w:type="spellStart"/>
      <w:r w:rsidR="00D561E2" w:rsidRPr="00D561E2">
        <w:t>Moslares</w:t>
      </w:r>
      <w:proofErr w:type="spellEnd"/>
      <w:r w:rsidR="00D561E2" w:rsidRPr="00D561E2">
        <w:t>, 2020) (</w:t>
      </w:r>
      <w:proofErr w:type="spellStart"/>
      <w:r w:rsidR="00D561E2" w:rsidRPr="00D561E2">
        <w:t>Masron</w:t>
      </w:r>
      <w:proofErr w:type="spellEnd"/>
      <w:r w:rsidR="00D561E2" w:rsidRPr="00D561E2">
        <w:t xml:space="preserve"> &amp; Subramaniam, 2018) (Javid et al., 2012)</w:t>
      </w:r>
      <w:r w:rsidR="00D561E2">
        <w:t xml:space="preserve">, </w:t>
      </w:r>
      <w:r w:rsidR="00D561E2" w:rsidRPr="00D561E2">
        <w:t>(Vargas-Silva et al., 2009)</w:t>
      </w:r>
    </w:p>
    <w:p w14:paraId="4EFEBF46" w14:textId="77777777" w:rsidR="00312517" w:rsidRDefault="00312517" w:rsidP="007B1BDB">
      <w:pPr>
        <w:pStyle w:val="NormalWeb"/>
        <w:spacing w:line="360" w:lineRule="auto"/>
        <w:jc w:val="both"/>
      </w:pPr>
      <w:r>
        <w:rPr>
          <w:rStyle w:val="Strong"/>
          <w:rFonts w:eastAsiaTheme="majorEastAsia"/>
        </w:rPr>
        <w:t>1. Impact on Household Income and Poverty</w:t>
      </w:r>
    </w:p>
    <w:p w14:paraId="1DFCB267" w14:textId="7E9184DB" w:rsidR="00312517" w:rsidRDefault="00E80A0B" w:rsidP="007B1BDB">
      <w:pPr>
        <w:pStyle w:val="NormalWeb"/>
        <w:spacing w:line="360" w:lineRule="auto"/>
        <w:jc w:val="both"/>
      </w:pPr>
      <w:r w:rsidRPr="00E80A0B">
        <w:lastRenderedPageBreak/>
        <w:t xml:space="preserve">Han </w:t>
      </w:r>
      <w:r w:rsidR="00312517">
        <w:t>(20</w:t>
      </w:r>
      <w:r>
        <w:t>09</w:t>
      </w:r>
      <w:r w:rsidR="00312517">
        <w:t xml:space="preserve">) found that remittance increases household income and reduces poverty. The study in </w:t>
      </w:r>
      <w:r>
        <w:t>Nepal</w:t>
      </w:r>
      <w:r w:rsidR="00312517">
        <w:t xml:space="preserve"> showed that households receiving remittance had higher incomes and lower poverty rates compared to those that did not receive remittance</w:t>
      </w:r>
      <w:r w:rsidRPr="00E80A0B">
        <w:t xml:space="preserve"> (Wagle &amp; Devkota, 2018) (Devkota, 2014) (Acharya &amp; Leon-Gonzalez, 2012)</w:t>
      </w:r>
      <w:r w:rsidR="00312517">
        <w:t xml:space="preserve">. Similarly, </w:t>
      </w:r>
      <w:r>
        <w:t>R</w:t>
      </w:r>
      <w:r w:rsidR="00312517">
        <w:t xml:space="preserve">emittance had a positive impact on economic growth and poverty reduction in </w:t>
      </w:r>
      <w:r>
        <w:t>Nepal</w:t>
      </w:r>
      <w:r w:rsidRPr="00E80A0B">
        <w:t xml:space="preserve"> (Sah, 2019) (</w:t>
      </w:r>
      <w:proofErr w:type="spellStart"/>
      <w:r w:rsidRPr="00E80A0B">
        <w:t>Kaphle</w:t>
      </w:r>
      <w:proofErr w:type="spellEnd"/>
      <w:r w:rsidRPr="00E80A0B">
        <w:t>, 2019) (Dahal, 2014)</w:t>
      </w:r>
      <w:r w:rsidR="00312517">
        <w:t>.</w:t>
      </w:r>
    </w:p>
    <w:p w14:paraId="0254E852" w14:textId="77777777" w:rsidR="00312517" w:rsidRDefault="00312517" w:rsidP="007B1BDB">
      <w:pPr>
        <w:pStyle w:val="NormalWeb"/>
        <w:spacing w:line="360" w:lineRule="auto"/>
        <w:jc w:val="both"/>
      </w:pPr>
      <w:r>
        <w:rPr>
          <w:rStyle w:val="Strong"/>
          <w:rFonts w:eastAsiaTheme="majorEastAsia"/>
        </w:rPr>
        <w:t>2. Impact on Education</w:t>
      </w:r>
    </w:p>
    <w:p w14:paraId="0E614F89" w14:textId="53AF74BD" w:rsidR="00312517" w:rsidRDefault="00312517" w:rsidP="007B1BDB">
      <w:pPr>
        <w:pStyle w:val="NormalWeb"/>
        <w:spacing w:line="360" w:lineRule="auto"/>
        <w:jc w:val="both"/>
      </w:pPr>
      <w:r>
        <w:t>Remittance also has a positive impact on education</w:t>
      </w:r>
      <w:r w:rsidR="00BD7206" w:rsidRPr="00BD7206">
        <w:t xml:space="preserve"> (Arif et al., 2019)</w:t>
      </w:r>
      <w:r>
        <w:t>.</w:t>
      </w:r>
      <w:r w:rsidR="00CD08A3">
        <w:t xml:space="preserve"> Karki (2016)</w:t>
      </w:r>
      <w:r>
        <w:t xml:space="preserve"> found that remittance increased school attendance and educational attainment in </w:t>
      </w:r>
      <w:r w:rsidR="00BD7206">
        <w:t>Nepal</w:t>
      </w:r>
      <w:r w:rsidR="00CD08A3">
        <w:t>. S</w:t>
      </w:r>
      <w:r>
        <w:t xml:space="preserve">tudy </w:t>
      </w:r>
      <w:r w:rsidR="00CD08A3">
        <w:t xml:space="preserve">by </w:t>
      </w:r>
      <w:r w:rsidR="00CD08A3" w:rsidRPr="00CD08A3">
        <w:t xml:space="preserve">Raut &amp; Tanaka, </w:t>
      </w:r>
      <w:r w:rsidR="00CD08A3">
        <w:t>(</w:t>
      </w:r>
      <w:r w:rsidR="00CD08A3" w:rsidRPr="00CD08A3">
        <w:t>2018)</w:t>
      </w:r>
      <w:r w:rsidR="00CD08A3">
        <w:t xml:space="preserve">; </w:t>
      </w:r>
      <w:r w:rsidR="00CD08A3" w:rsidRPr="00CD08A3">
        <w:t xml:space="preserve">Edwards &amp; Ureta, </w:t>
      </w:r>
      <w:r w:rsidR="00CD08A3">
        <w:t>(</w:t>
      </w:r>
      <w:r w:rsidR="00CD08A3" w:rsidRPr="00CD08A3">
        <w:t>2003)</w:t>
      </w:r>
      <w:r w:rsidR="00CD08A3">
        <w:t>;</w:t>
      </w:r>
      <w:r w:rsidR="00CD08A3" w:rsidRPr="00CD08A3">
        <w:t xml:space="preserve"> </w:t>
      </w:r>
      <w:r>
        <w:t xml:space="preserve">showed that children in households receiving remittance were more likely to stay in school and achieve higher levels of education. Similarly, </w:t>
      </w:r>
      <w:proofErr w:type="spellStart"/>
      <w:r w:rsidR="00CD08A3" w:rsidRPr="00CD08A3">
        <w:t>Gajurel</w:t>
      </w:r>
      <w:proofErr w:type="spellEnd"/>
      <w:r w:rsidR="00CD08A3" w:rsidRPr="00CD08A3">
        <w:t xml:space="preserve"> &amp; Niroula, </w:t>
      </w:r>
      <w:r w:rsidR="00CD08A3">
        <w:t>(</w:t>
      </w:r>
      <w:r w:rsidR="00CD08A3" w:rsidRPr="00CD08A3">
        <w:t>2024)</w:t>
      </w:r>
      <w:r w:rsidR="00CD08A3">
        <w:t xml:space="preserve">; </w:t>
      </w:r>
      <w:r w:rsidR="00CD08A3" w:rsidRPr="00CD08A3">
        <w:t xml:space="preserve">Karki </w:t>
      </w:r>
      <w:r w:rsidR="00CD08A3">
        <w:t xml:space="preserve">and </w:t>
      </w:r>
      <w:r w:rsidR="00CD08A3" w:rsidRPr="00CD08A3">
        <w:t xml:space="preserve">Nepal, </w:t>
      </w:r>
      <w:r w:rsidR="00CD08A3">
        <w:t>(</w:t>
      </w:r>
      <w:r w:rsidR="00CD08A3" w:rsidRPr="00CD08A3">
        <w:t>2016)</w:t>
      </w:r>
      <w:r w:rsidR="00CD08A3">
        <w:t xml:space="preserve"> </w:t>
      </w:r>
      <w:r>
        <w:t xml:space="preserve">found that remittance had a positive impact on education in </w:t>
      </w:r>
      <w:r w:rsidR="00CD08A3">
        <w:t>Nepal</w:t>
      </w:r>
      <w:r>
        <w:t>.</w:t>
      </w:r>
    </w:p>
    <w:p w14:paraId="4634E1A9" w14:textId="77777777" w:rsidR="00312517" w:rsidRDefault="00312517" w:rsidP="007B1BDB">
      <w:pPr>
        <w:pStyle w:val="NormalWeb"/>
        <w:spacing w:line="360" w:lineRule="auto"/>
        <w:jc w:val="both"/>
      </w:pPr>
      <w:r>
        <w:rPr>
          <w:rStyle w:val="Strong"/>
          <w:rFonts w:eastAsiaTheme="majorEastAsia"/>
        </w:rPr>
        <w:t>3. Impact on Healthcare</w:t>
      </w:r>
    </w:p>
    <w:p w14:paraId="75C1E549" w14:textId="5243CC4B" w:rsidR="00312517" w:rsidRDefault="00312517" w:rsidP="007B1BDB">
      <w:pPr>
        <w:pStyle w:val="NormalWeb"/>
        <w:spacing w:line="360" w:lineRule="auto"/>
        <w:jc w:val="both"/>
      </w:pPr>
      <w:r>
        <w:t>Remittance can improve access to healthcare</w:t>
      </w:r>
      <w:r w:rsidR="00CD08A3" w:rsidRPr="00CD08A3">
        <w:t xml:space="preserve"> (Nathaniel, 2020)</w:t>
      </w:r>
      <w:r w:rsidR="00AA21E1" w:rsidRPr="00AA21E1">
        <w:t xml:space="preserve"> (Kapri &amp; Jha, 2020)</w:t>
      </w:r>
      <w:r>
        <w:t xml:space="preserve">. </w:t>
      </w:r>
      <w:proofErr w:type="spellStart"/>
      <w:r w:rsidR="00CD08A3" w:rsidRPr="00CD08A3">
        <w:t>Chezum</w:t>
      </w:r>
      <w:proofErr w:type="spellEnd"/>
      <w:r w:rsidR="00CD08A3" w:rsidRPr="00CD08A3">
        <w:t xml:space="preserve"> et al., </w:t>
      </w:r>
      <w:r w:rsidR="00AA21E1">
        <w:t>(</w:t>
      </w:r>
      <w:r w:rsidR="00CD08A3" w:rsidRPr="00CD08A3">
        <w:t>2018)</w:t>
      </w:r>
      <w:r w:rsidR="00AA21E1">
        <w:t xml:space="preserve">; </w:t>
      </w:r>
      <w:r w:rsidR="00AA21E1" w:rsidRPr="00AA21E1">
        <w:t xml:space="preserve">Thapa &amp; Acharya, </w:t>
      </w:r>
      <w:r w:rsidR="00AA21E1">
        <w:t>(</w:t>
      </w:r>
      <w:r w:rsidR="00AA21E1" w:rsidRPr="00AA21E1">
        <w:t>2017)</w:t>
      </w:r>
      <w:r w:rsidR="00AA21E1">
        <w:t xml:space="preserve"> </w:t>
      </w:r>
      <w:r>
        <w:t xml:space="preserve">found that remittance increased healthcare expenditures and improved health outcomes in </w:t>
      </w:r>
      <w:r w:rsidR="00CD08A3">
        <w:t>Nepal</w:t>
      </w:r>
      <w:r>
        <w:t xml:space="preserve">. Their study showed that households receiving remittance were more likely to spend on healthcare and had better health indicators. Similarly, </w:t>
      </w:r>
      <w:r w:rsidR="00AA21E1" w:rsidRPr="00AA21E1">
        <w:t xml:space="preserve">Islam, </w:t>
      </w:r>
      <w:r w:rsidR="00AA21E1">
        <w:t>(</w:t>
      </w:r>
      <w:r w:rsidR="00AA21E1" w:rsidRPr="00AA21E1">
        <w:t>2022)</w:t>
      </w:r>
      <w:r w:rsidR="00AA21E1">
        <w:t xml:space="preserve"> </w:t>
      </w:r>
      <w:r>
        <w:t xml:space="preserve">found that remittance had a positive impact on health in the </w:t>
      </w:r>
      <w:r w:rsidR="00AA21E1">
        <w:t>South Asian Region</w:t>
      </w:r>
    </w:p>
    <w:p w14:paraId="2A861A01" w14:textId="77777777" w:rsidR="00312517" w:rsidRDefault="00312517" w:rsidP="007B1BDB">
      <w:pPr>
        <w:pStyle w:val="NormalWeb"/>
        <w:spacing w:line="360" w:lineRule="auto"/>
        <w:jc w:val="both"/>
      </w:pPr>
      <w:r>
        <w:rPr>
          <w:rStyle w:val="Strong"/>
          <w:rFonts w:eastAsiaTheme="majorEastAsia"/>
        </w:rPr>
        <w:t>4. Impact on Savings and Investment</w:t>
      </w:r>
    </w:p>
    <w:p w14:paraId="75A07532" w14:textId="09E173E0" w:rsidR="00312517" w:rsidRDefault="00312517" w:rsidP="007B1BDB">
      <w:pPr>
        <w:pStyle w:val="NormalWeb"/>
        <w:spacing w:line="360" w:lineRule="auto"/>
        <w:jc w:val="both"/>
      </w:pPr>
      <w:r>
        <w:t>Remittance can also promote savings and investment</w:t>
      </w:r>
      <w:r w:rsidR="00AA21E1" w:rsidRPr="00AA21E1">
        <w:t xml:space="preserve"> (Chaudhary, 2022) (Pant, 2011)</w:t>
      </w:r>
      <w:r w:rsidR="00AA21E1">
        <w:t>;</w:t>
      </w:r>
      <w:r w:rsidR="00AA21E1" w:rsidRPr="00AA21E1">
        <w:t xml:space="preserve"> (Baldé, 2011)</w:t>
      </w:r>
      <w:r>
        <w:t xml:space="preserve">. </w:t>
      </w:r>
      <w:r w:rsidR="00F165CE" w:rsidRPr="00F165CE">
        <w:t xml:space="preserve">Dhakal &amp; Oli, </w:t>
      </w:r>
      <w:r w:rsidR="00F165CE">
        <w:t>(</w:t>
      </w:r>
      <w:r w:rsidR="00F165CE" w:rsidRPr="00F165CE">
        <w:t xml:space="preserve">2020) </w:t>
      </w:r>
      <w:r>
        <w:t xml:space="preserve">found that remittance increased savings and investment in </w:t>
      </w:r>
      <w:r w:rsidR="00AA21E1">
        <w:t>Nepal</w:t>
      </w:r>
      <w:r>
        <w:t xml:space="preserve">. Their study showed that households receiving remittance were more likely to save and invest in productive activities. Similarly, </w:t>
      </w:r>
      <w:r w:rsidR="00F165CE" w:rsidRPr="00F165CE">
        <w:t>(Adhikari, 2023)</w:t>
      </w:r>
      <w:r w:rsidR="009D0640">
        <w:t xml:space="preserve">; </w:t>
      </w:r>
      <w:r w:rsidR="009D0640" w:rsidRPr="009D0640">
        <w:t>Acharya &amp; Paudel,</w:t>
      </w:r>
      <w:r w:rsidR="009D0640">
        <w:t xml:space="preserve"> (</w:t>
      </w:r>
      <w:r w:rsidR="009D0640" w:rsidRPr="009D0640">
        <w:t xml:space="preserve">2021) </w:t>
      </w:r>
      <w:r>
        <w:t xml:space="preserve">found that remittance had a positive impact on small business investment in </w:t>
      </w:r>
      <w:r w:rsidR="00F165CE">
        <w:t>Nepal</w:t>
      </w:r>
      <w:r>
        <w:t>.</w:t>
      </w:r>
    </w:p>
    <w:p w14:paraId="27BD0164" w14:textId="77777777" w:rsidR="00312517" w:rsidRDefault="00312517" w:rsidP="007B1BDB">
      <w:pPr>
        <w:pStyle w:val="NormalWeb"/>
        <w:spacing w:line="360" w:lineRule="auto"/>
        <w:jc w:val="both"/>
      </w:pPr>
      <w:r>
        <w:rPr>
          <w:rStyle w:val="Strong"/>
          <w:rFonts w:eastAsiaTheme="majorEastAsia"/>
        </w:rPr>
        <w:t>5. Challenges in Managing Remittance</w:t>
      </w:r>
    </w:p>
    <w:p w14:paraId="222A07B7" w14:textId="77777777" w:rsidR="000437A8" w:rsidRDefault="00312517" w:rsidP="007B1BDB">
      <w:pPr>
        <w:pStyle w:val="NormalWeb"/>
        <w:spacing w:line="360" w:lineRule="auto"/>
        <w:jc w:val="both"/>
      </w:pPr>
      <w:r>
        <w:lastRenderedPageBreak/>
        <w:t>Despite its benefits, there are challenges in managing remittance</w:t>
      </w:r>
      <w:r w:rsidR="00893996" w:rsidRPr="00893996">
        <w:t xml:space="preserve"> (</w:t>
      </w:r>
      <w:proofErr w:type="spellStart"/>
      <w:r w:rsidR="00893996" w:rsidRPr="00893996">
        <w:t>Hidayati</w:t>
      </w:r>
      <w:proofErr w:type="spellEnd"/>
      <w:r w:rsidR="00893996" w:rsidRPr="00893996">
        <w:t>, 2020) (S. Adhikari, 2020)</w:t>
      </w:r>
      <w:r>
        <w:t>. One major challenge is financial literacy</w:t>
      </w:r>
      <w:r w:rsidR="00893996" w:rsidRPr="00893996">
        <w:t xml:space="preserve"> (Ghimire et al., 2023)</w:t>
      </w:r>
      <w:r w:rsidR="00893996">
        <w:t>;</w:t>
      </w:r>
      <w:r w:rsidR="000437A8">
        <w:t xml:space="preserve"> </w:t>
      </w:r>
      <w:r w:rsidR="00893996" w:rsidRPr="00893996">
        <w:t>(Hasan et al., 2021)</w:t>
      </w:r>
      <w:r>
        <w:t>. Many families lack the knowledge and skills to manage remittance effectively</w:t>
      </w:r>
      <w:r w:rsidR="000437A8" w:rsidRPr="000437A8">
        <w:t xml:space="preserve"> (</w:t>
      </w:r>
      <w:proofErr w:type="spellStart"/>
      <w:r w:rsidR="000437A8" w:rsidRPr="000437A8">
        <w:t>Katuwal</w:t>
      </w:r>
      <w:proofErr w:type="spellEnd"/>
      <w:r w:rsidR="000437A8" w:rsidRPr="000437A8">
        <w:t>, 2021)</w:t>
      </w:r>
      <w:r w:rsidR="00893996" w:rsidRPr="00893996">
        <w:t xml:space="preserve"> (Rosenberg et al., 2017)</w:t>
      </w:r>
      <w:r>
        <w:t xml:space="preserve">. This can lead to misuse of funds and missed opportunities for savings and investment </w:t>
      </w:r>
      <w:r w:rsidR="000437A8" w:rsidRPr="000437A8">
        <w:t>(</w:t>
      </w:r>
      <w:proofErr w:type="spellStart"/>
      <w:r w:rsidR="000437A8" w:rsidRPr="000437A8">
        <w:t>Mpaata</w:t>
      </w:r>
      <w:proofErr w:type="spellEnd"/>
      <w:r w:rsidR="000437A8" w:rsidRPr="000437A8">
        <w:t xml:space="preserve"> et al., 2023)</w:t>
      </w:r>
      <w:r>
        <w:t>.</w:t>
      </w:r>
    </w:p>
    <w:p w14:paraId="10565E79" w14:textId="6C880814" w:rsidR="00312517" w:rsidRDefault="00312517" w:rsidP="007B1BDB">
      <w:pPr>
        <w:pStyle w:val="NormalWeb"/>
        <w:spacing w:line="360" w:lineRule="auto"/>
        <w:jc w:val="both"/>
      </w:pPr>
      <w:r>
        <w:t>Another challenge is access to banking services</w:t>
      </w:r>
      <w:r w:rsidR="000437A8" w:rsidRPr="000437A8">
        <w:t xml:space="preserve"> (Chang &amp; Benson, 2023)</w:t>
      </w:r>
      <w:r>
        <w:t>. In many rural areas, families have limited access to banks and financial institutions</w:t>
      </w:r>
      <w:r w:rsidR="000437A8" w:rsidRPr="000437A8">
        <w:t xml:space="preserve"> (Nepal, 2023)</w:t>
      </w:r>
      <w:r>
        <w:t xml:space="preserve">. This makes it difficult to save and invest remittance in a secure and productive manner </w:t>
      </w:r>
      <w:r w:rsidR="000437A8" w:rsidRPr="000437A8">
        <w:t>(Adhikari et al., 2024)</w:t>
      </w:r>
    </w:p>
    <w:p w14:paraId="5C72F1B1" w14:textId="6ED03CF7" w:rsidR="00312517" w:rsidRDefault="00312517" w:rsidP="007B1BDB">
      <w:pPr>
        <w:pStyle w:val="NormalWeb"/>
        <w:spacing w:line="360" w:lineRule="auto"/>
        <w:jc w:val="both"/>
      </w:pPr>
      <w:r>
        <w:t>Social pressures and cultural practices can also affect the use of remittance</w:t>
      </w:r>
      <w:r w:rsidR="000437A8" w:rsidRPr="000437A8">
        <w:t xml:space="preserve"> (Dsouza, 2024)</w:t>
      </w:r>
      <w:r>
        <w:t>. In some cases, families may feel obligated to spend remittance on social and cultural activities, such as weddings and festivals</w:t>
      </w:r>
      <w:r w:rsidR="00DE3E2A" w:rsidRPr="00DE3E2A">
        <w:t xml:space="preserve"> (</w:t>
      </w:r>
      <w:proofErr w:type="spellStart"/>
      <w:r w:rsidR="00DE3E2A" w:rsidRPr="00DE3E2A">
        <w:t>Zharkevich</w:t>
      </w:r>
      <w:proofErr w:type="spellEnd"/>
      <w:r w:rsidR="00DE3E2A" w:rsidRPr="00DE3E2A">
        <w:t>, 2019) (Gurung, 2023)</w:t>
      </w:r>
      <w:r>
        <w:t xml:space="preserve">. This can reduce the funds available for productive investments </w:t>
      </w:r>
      <w:r w:rsidR="00DE3E2A" w:rsidRPr="00DE3E2A">
        <w:t>(Meyer, 2023)</w:t>
      </w:r>
      <w:r w:rsidR="00DE3E2A">
        <w:t>.</w:t>
      </w:r>
    </w:p>
    <w:p w14:paraId="40AEF3CF" w14:textId="77777777" w:rsidR="00312517" w:rsidRDefault="00312517" w:rsidP="007B1BDB">
      <w:pPr>
        <w:pStyle w:val="NormalWeb"/>
        <w:spacing w:line="360" w:lineRule="auto"/>
        <w:jc w:val="both"/>
      </w:pPr>
      <w:r>
        <w:rPr>
          <w:rStyle w:val="Strong"/>
          <w:rFonts w:eastAsiaTheme="majorEastAsia"/>
        </w:rPr>
        <w:t>6. Impact on Local Economies</w:t>
      </w:r>
    </w:p>
    <w:p w14:paraId="12CC243E" w14:textId="77777777" w:rsidR="00312517" w:rsidRDefault="00312517" w:rsidP="007B1BDB">
      <w:pPr>
        <w:pStyle w:val="NormalWeb"/>
        <w:spacing w:line="360" w:lineRule="auto"/>
        <w:jc w:val="both"/>
      </w:pPr>
      <w:r>
        <w:t>Remittance can have a broader impact on local economies. It increases demand for goods and services, which can boost local businesses and create jobs. However, it can also lead to inflation and dependency on external income. These effects depend on how remittance is used and managed at the household and community levels (Ratha, 2013).</w:t>
      </w:r>
    </w:p>
    <w:p w14:paraId="33793202" w14:textId="3CFCE4A4" w:rsidR="00312517" w:rsidRDefault="00312517" w:rsidP="007B1BDB">
      <w:pPr>
        <w:pStyle w:val="Heading4"/>
        <w:spacing w:line="360" w:lineRule="auto"/>
        <w:jc w:val="both"/>
      </w:pPr>
      <w:r>
        <w:t>2.</w:t>
      </w:r>
      <w:r w:rsidR="00261D77">
        <w:t>5</w:t>
      </w:r>
      <w:r>
        <w:t xml:space="preserve"> Research Gap</w:t>
      </w:r>
    </w:p>
    <w:p w14:paraId="11EADB85" w14:textId="14D65E87" w:rsidR="00312517" w:rsidRDefault="00312517" w:rsidP="007B1BDB">
      <w:pPr>
        <w:pStyle w:val="NormalWeb"/>
        <w:spacing w:line="360" w:lineRule="auto"/>
        <w:jc w:val="both"/>
      </w:pPr>
      <w:r>
        <w:t>Despite the extensive research on remittance, there are still gaps in the literature</w:t>
      </w:r>
      <w:r w:rsidR="00DE3E2A" w:rsidRPr="00DE3E2A">
        <w:t xml:space="preserve"> (Radic et al., 2023)</w:t>
      </w:r>
      <w:r>
        <w:t>. First, there is limited understanding of how remittance is used by households in specific contexts, such as rural areas in Nepal</w:t>
      </w:r>
      <w:r w:rsidR="00093A6E" w:rsidRPr="00093A6E">
        <w:t xml:space="preserve"> (Thapaliya et al., 2023)</w:t>
      </w:r>
      <w:r>
        <w:t xml:space="preserve">. Most studies focus on national or regional levels, and there is a need for more localized </w:t>
      </w:r>
      <w:r w:rsidRPr="00093A6E">
        <w:t>studies</w:t>
      </w:r>
      <w:r w:rsidR="00093A6E" w:rsidRPr="00093A6E">
        <w:rPr>
          <w:color w:val="000000"/>
        </w:rPr>
        <w:t xml:space="preserve"> (Ramachandran &amp; Crush, 2024).</w:t>
      </w:r>
      <w:r w:rsidR="00093A6E">
        <w:rPr>
          <w:rFonts w:ascii="Helvetica" w:hAnsi="Helvetica" w:cs="Helvetica"/>
          <w:color w:val="000000"/>
        </w:rPr>
        <w:t xml:space="preserve"> </w:t>
      </w:r>
      <w:r w:rsidR="00093A6E">
        <w:t>T</w:t>
      </w:r>
      <w:r>
        <w:t>here is a lack of research on the challenges faced by families in managing remittance</w:t>
      </w:r>
      <w:r w:rsidR="00093A6E" w:rsidRPr="00093A6E">
        <w:t xml:space="preserve"> (Adhikari &amp; Vince, 2023) (</w:t>
      </w:r>
      <w:proofErr w:type="spellStart"/>
      <w:r w:rsidR="00093A6E" w:rsidRPr="00093A6E">
        <w:t>Firlana</w:t>
      </w:r>
      <w:proofErr w:type="spellEnd"/>
      <w:r w:rsidR="00093A6E" w:rsidRPr="00093A6E">
        <w:t xml:space="preserve"> &amp; </w:t>
      </w:r>
      <w:proofErr w:type="spellStart"/>
      <w:r w:rsidR="00093A6E" w:rsidRPr="00093A6E">
        <w:t>Mastur</w:t>
      </w:r>
      <w:proofErr w:type="spellEnd"/>
      <w:r w:rsidR="00093A6E" w:rsidRPr="00093A6E">
        <w:t>, 2023)</w:t>
      </w:r>
      <w:r>
        <w:t>. While some studies have identified issues like financial literacy and access to banking services, there is a need for more detailed analysis of these challenges and how they affect the use of remittance</w:t>
      </w:r>
      <w:r w:rsidR="00093A6E" w:rsidRPr="00093A6E">
        <w:t xml:space="preserve"> (Khan et al., 2022) (Dewi, 2022)</w:t>
      </w:r>
      <w:r>
        <w:t>.</w:t>
      </w:r>
    </w:p>
    <w:p w14:paraId="79F42C12" w14:textId="77777777" w:rsidR="00312517" w:rsidRDefault="00312517" w:rsidP="007B1BDB">
      <w:pPr>
        <w:pStyle w:val="NormalWeb"/>
        <w:spacing w:line="360" w:lineRule="auto"/>
        <w:jc w:val="both"/>
      </w:pPr>
      <w:r>
        <w:lastRenderedPageBreak/>
        <w:t>Third, there is limited research on the long-term impact of remittance on household economy. Most studies are cross-sectional and do not explore the long-term effects of remittance on household welfare and economic stability.</w:t>
      </w:r>
    </w:p>
    <w:p w14:paraId="274B9591" w14:textId="77777777" w:rsidR="00312517" w:rsidRDefault="00312517" w:rsidP="007B1BDB">
      <w:pPr>
        <w:pStyle w:val="NormalWeb"/>
        <w:spacing w:line="360" w:lineRule="auto"/>
        <w:jc w:val="both"/>
      </w:pPr>
      <w:r>
        <w:t xml:space="preserve">This study aims to address these gaps by focusing on the use and impact of remittance in Arjun </w:t>
      </w:r>
      <w:proofErr w:type="spellStart"/>
      <w:r>
        <w:t>Chaupari</w:t>
      </w:r>
      <w:proofErr w:type="spellEnd"/>
      <w:r>
        <w:t xml:space="preserve"> Rural Municipality. It will provide detailed insights into how remittance is managed by households, the challenges they face, and the long-term effects on their economic stability.</w:t>
      </w:r>
    </w:p>
    <w:p w14:paraId="19B5AC3A" w14:textId="3650F3DE" w:rsidR="00312517" w:rsidRDefault="00312517" w:rsidP="007B1BDB">
      <w:pPr>
        <w:pStyle w:val="Heading4"/>
        <w:spacing w:line="360" w:lineRule="auto"/>
        <w:jc w:val="both"/>
      </w:pPr>
      <w:r>
        <w:t>2.</w:t>
      </w:r>
      <w:r w:rsidR="00261D77">
        <w:t>6</w:t>
      </w:r>
      <w:r>
        <w:t xml:space="preserve"> Definition of the Variables</w:t>
      </w:r>
    </w:p>
    <w:p w14:paraId="699CEAA9" w14:textId="77777777" w:rsidR="00312517" w:rsidRDefault="00312517" w:rsidP="007B1BDB">
      <w:pPr>
        <w:pStyle w:val="NormalWeb"/>
        <w:numPr>
          <w:ilvl w:val="0"/>
          <w:numId w:val="2"/>
        </w:numPr>
        <w:spacing w:line="360" w:lineRule="auto"/>
        <w:jc w:val="both"/>
      </w:pPr>
      <w:r>
        <w:rPr>
          <w:rStyle w:val="Strong"/>
          <w:rFonts w:eastAsiaTheme="majorEastAsia"/>
        </w:rPr>
        <w:t>Remittance</w:t>
      </w:r>
      <w:r>
        <w:t>: The money sent by family members working abroad to their families in their home country. It is measured in terms of the amount received and the frequency of remittance.</w:t>
      </w:r>
    </w:p>
    <w:p w14:paraId="43E33B13" w14:textId="2327F4E9" w:rsidR="00312517" w:rsidRDefault="00312517" w:rsidP="007B1BDB">
      <w:pPr>
        <w:pStyle w:val="NormalWeb"/>
        <w:numPr>
          <w:ilvl w:val="0"/>
          <w:numId w:val="2"/>
        </w:numPr>
        <w:spacing w:line="360" w:lineRule="auto"/>
        <w:jc w:val="both"/>
      </w:pPr>
      <w:r>
        <w:rPr>
          <w:rStyle w:val="Strong"/>
          <w:rFonts w:eastAsiaTheme="majorEastAsia"/>
        </w:rPr>
        <w:t>Household Expenditure</w:t>
      </w:r>
      <w:r>
        <w:t>: The money spent by households on various needs, including basic needs (food, clothing, shelter), education, healthcare, savings, debt repayment, and social/cultural activities. It is measured in terms of the percentage of remittance spent on each category.</w:t>
      </w:r>
    </w:p>
    <w:p w14:paraId="7F5E0E08" w14:textId="2BF48FD2" w:rsidR="00312517" w:rsidRDefault="00312517" w:rsidP="007B1BDB">
      <w:pPr>
        <w:pStyle w:val="NormalWeb"/>
        <w:numPr>
          <w:ilvl w:val="0"/>
          <w:numId w:val="2"/>
        </w:numPr>
        <w:spacing w:line="360" w:lineRule="auto"/>
        <w:jc w:val="both"/>
      </w:pPr>
      <w:r>
        <w:rPr>
          <w:rStyle w:val="Strong"/>
          <w:rFonts w:eastAsiaTheme="majorEastAsia"/>
        </w:rPr>
        <w:t>Household Income</w:t>
      </w:r>
      <w:r>
        <w:t>: The total income of the household, including remittance and other sources of income. It is measured in terms of the total amount received per year.</w:t>
      </w:r>
    </w:p>
    <w:p w14:paraId="564D49B5" w14:textId="76CED18C" w:rsidR="00312517" w:rsidRDefault="00312517" w:rsidP="007B1BDB">
      <w:pPr>
        <w:pStyle w:val="NormalWeb"/>
        <w:numPr>
          <w:ilvl w:val="0"/>
          <w:numId w:val="2"/>
        </w:numPr>
        <w:spacing w:line="360" w:lineRule="auto"/>
        <w:jc w:val="both"/>
      </w:pPr>
      <w:r>
        <w:rPr>
          <w:rStyle w:val="Strong"/>
          <w:rFonts w:eastAsiaTheme="majorEastAsia"/>
        </w:rPr>
        <w:t>Living Standards</w:t>
      </w:r>
      <w:r>
        <w:t>: The overall well-being of the household, including access to basic needs, education, healthcare, and housing conditions. It is measured through self-reported indicators of living conditions.</w:t>
      </w:r>
    </w:p>
    <w:p w14:paraId="396C0EEA" w14:textId="35C2EB96" w:rsidR="00312517" w:rsidRDefault="00312517" w:rsidP="007B1BDB">
      <w:pPr>
        <w:pStyle w:val="NormalWeb"/>
        <w:numPr>
          <w:ilvl w:val="0"/>
          <w:numId w:val="2"/>
        </w:numPr>
        <w:spacing w:line="360" w:lineRule="auto"/>
        <w:jc w:val="both"/>
      </w:pPr>
      <w:r>
        <w:rPr>
          <w:rStyle w:val="Strong"/>
          <w:rFonts w:eastAsiaTheme="majorEastAsia"/>
        </w:rPr>
        <w:t>Economic Stability</w:t>
      </w:r>
      <w:r>
        <w:t>: The ability of the household to maintain a stable income and meet their financial needs. It is measured through indicators such as savings, investment, and debt levels.</w:t>
      </w:r>
    </w:p>
    <w:p w14:paraId="5CE735D3" w14:textId="067E7E4A" w:rsidR="00D2457C" w:rsidRDefault="00D2457C" w:rsidP="007B1BDB">
      <w:pPr>
        <w:pStyle w:val="Heading2"/>
      </w:pPr>
      <w:bookmarkStart w:id="17" w:name="_Toc171485427"/>
      <w:r>
        <w:lastRenderedPageBreak/>
        <w:t>2.</w:t>
      </w:r>
      <w:r w:rsidR="00261D77">
        <w:t>7</w:t>
      </w:r>
      <w:r>
        <w:t xml:space="preserve"> Conceptual Framework</w:t>
      </w:r>
      <w:bookmarkEnd w:id="17"/>
    </w:p>
    <w:p w14:paraId="52C6D9BC" w14:textId="063C4590" w:rsidR="00D2457C" w:rsidRDefault="00D2457C" w:rsidP="007B1BDB">
      <w:pPr>
        <w:pStyle w:val="NormalWeb"/>
        <w:spacing w:line="360" w:lineRule="auto"/>
        <w:jc w:val="both"/>
      </w:pPr>
      <w:r w:rsidRPr="00D2457C">
        <w:rPr>
          <w:noProof/>
        </w:rPr>
        <mc:AlternateContent>
          <mc:Choice Requires="wpg">
            <w:drawing>
              <wp:anchor distT="0" distB="0" distL="114300" distR="114300" simplePos="0" relativeHeight="251659264" behindDoc="0" locked="0" layoutInCell="1" allowOverlap="1" wp14:anchorId="22D8BA8C" wp14:editId="3D3DC67B">
                <wp:simplePos x="0" y="0"/>
                <wp:positionH relativeFrom="page">
                  <wp:posOffset>1567542</wp:posOffset>
                </wp:positionH>
                <wp:positionV relativeFrom="page">
                  <wp:posOffset>6912429</wp:posOffset>
                </wp:positionV>
                <wp:extent cx="4822371" cy="2590800"/>
                <wp:effectExtent l="0" t="0" r="16510" b="0"/>
                <wp:wrapTopAndBottom/>
                <wp:docPr id="16" name="Group 15">
                  <a:extLst xmlns:a="http://schemas.openxmlformats.org/drawingml/2006/main">
                    <a:ext uri="{FF2B5EF4-FFF2-40B4-BE49-F238E27FC236}">
                      <a16:creationId xmlns:a16="http://schemas.microsoft.com/office/drawing/2014/main" id="{17D79483-BFB6-49B8-BB48-13D43482EF3D}"/>
                    </a:ext>
                  </a:extLst>
                </wp:docPr>
                <wp:cNvGraphicFramePr/>
                <a:graphic xmlns:a="http://schemas.openxmlformats.org/drawingml/2006/main">
                  <a:graphicData uri="http://schemas.microsoft.com/office/word/2010/wordprocessingGroup">
                    <wpg:wgp>
                      <wpg:cNvGrpSpPr/>
                      <wpg:grpSpPr>
                        <a:xfrm>
                          <a:off x="0" y="0"/>
                          <a:ext cx="4822371" cy="2590800"/>
                          <a:chOff x="0" y="0"/>
                          <a:chExt cx="3878652" cy="2565299"/>
                        </a:xfrm>
                      </wpg:grpSpPr>
                      <wps:wsp>
                        <wps:cNvPr id="2" name="TextBox 3">
                          <a:extLst>
                            <a:ext uri="{FF2B5EF4-FFF2-40B4-BE49-F238E27FC236}">
                              <a16:creationId xmlns:a16="http://schemas.microsoft.com/office/drawing/2014/main" id="{E4546398-14A6-4EA6-B50A-17AB72A17EFC}"/>
                            </a:ext>
                          </a:extLst>
                        </wps:cNvPr>
                        <wps:cNvSpPr txBox="1"/>
                        <wps:spPr>
                          <a:xfrm>
                            <a:off x="319729" y="646243"/>
                            <a:ext cx="1156335" cy="394970"/>
                          </a:xfrm>
                          <a:prstGeom prst="rect">
                            <a:avLst/>
                          </a:prstGeom>
                        </wps:spPr>
                        <wps:style>
                          <a:lnRef idx="2">
                            <a:schemeClr val="dk1"/>
                          </a:lnRef>
                          <a:fillRef idx="1">
                            <a:schemeClr val="lt1"/>
                          </a:fillRef>
                          <a:effectRef idx="0">
                            <a:schemeClr val="dk1"/>
                          </a:effectRef>
                          <a:fontRef idx="minor">
                            <a:schemeClr val="dk1"/>
                          </a:fontRef>
                        </wps:style>
                        <wps:txbx>
                          <w:txbxContent>
                            <w:p w14:paraId="3A8B2944" w14:textId="77777777" w:rsidR="00C239CC" w:rsidRDefault="00C239CC" w:rsidP="00D2457C">
                              <w:pPr>
                                <w:rPr>
                                  <w:szCs w:val="24"/>
                                </w:rPr>
                              </w:pPr>
                              <w:r>
                                <w:rPr>
                                  <w:color w:val="000000" w:themeColor="dark1"/>
                                  <w:kern w:val="24"/>
                                </w:rPr>
                                <w:t>Remittance</w:t>
                              </w:r>
                            </w:p>
                          </w:txbxContent>
                        </wps:txbx>
                        <wps:bodyPr wrap="square" rtlCol="0">
                          <a:noAutofit/>
                        </wps:bodyPr>
                      </wps:wsp>
                      <wps:wsp>
                        <wps:cNvPr id="3" name="TextBox 4">
                          <a:extLst>
                            <a:ext uri="{FF2B5EF4-FFF2-40B4-BE49-F238E27FC236}">
                              <a16:creationId xmlns:a16="http://schemas.microsoft.com/office/drawing/2014/main" id="{6652CAC3-67A7-47A8-9C2B-537CD559076C}"/>
                            </a:ext>
                          </a:extLst>
                        </wps:cNvPr>
                        <wps:cNvSpPr txBox="1"/>
                        <wps:spPr>
                          <a:xfrm>
                            <a:off x="2049851" y="0"/>
                            <a:ext cx="1828801" cy="1626235"/>
                          </a:xfrm>
                          <a:prstGeom prst="rect">
                            <a:avLst/>
                          </a:prstGeom>
                        </wps:spPr>
                        <wps:style>
                          <a:lnRef idx="2">
                            <a:schemeClr val="dk1"/>
                          </a:lnRef>
                          <a:fillRef idx="1">
                            <a:schemeClr val="lt1"/>
                          </a:fillRef>
                          <a:effectRef idx="0">
                            <a:schemeClr val="dk1"/>
                          </a:effectRef>
                          <a:fontRef idx="minor">
                            <a:schemeClr val="dk1"/>
                          </a:fontRef>
                        </wps:style>
                        <wps:txbx>
                          <w:txbxContent>
                            <w:p w14:paraId="2AFFE819" w14:textId="77777777" w:rsidR="00C239CC" w:rsidRDefault="00C239CC" w:rsidP="00D2457C">
                              <w:pPr>
                                <w:rPr>
                                  <w:szCs w:val="24"/>
                                </w:rPr>
                              </w:pPr>
                              <w:r>
                                <w:rPr>
                                  <w:color w:val="000000" w:themeColor="dark1"/>
                                  <w:kern w:val="24"/>
                                </w:rPr>
                                <w:t>House Hold Expenditure</w:t>
                              </w:r>
                            </w:p>
                            <w:p w14:paraId="3677D994" w14:textId="77777777" w:rsidR="00C239CC" w:rsidRDefault="00C239CC" w:rsidP="00D2457C">
                              <w:pPr>
                                <w:pStyle w:val="ListParagraph"/>
                                <w:numPr>
                                  <w:ilvl w:val="1"/>
                                  <w:numId w:val="3"/>
                                </w:numPr>
                                <w:rPr>
                                  <w:rFonts w:eastAsia="Times New Roman"/>
                                </w:rPr>
                              </w:pPr>
                              <w:r>
                                <w:rPr>
                                  <w:color w:val="000000" w:themeColor="dark1"/>
                                  <w:kern w:val="24"/>
                                </w:rPr>
                                <w:t>Food</w:t>
                              </w:r>
                            </w:p>
                            <w:p w14:paraId="2EE2DC15" w14:textId="77777777" w:rsidR="00C239CC" w:rsidRDefault="00C239CC" w:rsidP="00D2457C">
                              <w:pPr>
                                <w:pStyle w:val="ListParagraph"/>
                                <w:numPr>
                                  <w:ilvl w:val="1"/>
                                  <w:numId w:val="3"/>
                                </w:numPr>
                                <w:rPr>
                                  <w:rFonts w:eastAsia="Times New Roman"/>
                                </w:rPr>
                              </w:pPr>
                              <w:r>
                                <w:rPr>
                                  <w:color w:val="000000" w:themeColor="dark1"/>
                                  <w:kern w:val="24"/>
                                </w:rPr>
                                <w:t>Shelter</w:t>
                              </w:r>
                            </w:p>
                            <w:p w14:paraId="5021D8E3" w14:textId="77777777" w:rsidR="00C239CC" w:rsidRDefault="00C239CC" w:rsidP="00D2457C">
                              <w:pPr>
                                <w:pStyle w:val="ListParagraph"/>
                                <w:numPr>
                                  <w:ilvl w:val="1"/>
                                  <w:numId w:val="3"/>
                                </w:numPr>
                                <w:rPr>
                                  <w:rFonts w:eastAsia="Times New Roman"/>
                                </w:rPr>
                              </w:pPr>
                              <w:r>
                                <w:rPr>
                                  <w:color w:val="000000" w:themeColor="dark1"/>
                                  <w:kern w:val="24"/>
                                </w:rPr>
                                <w:t>Health</w:t>
                              </w:r>
                            </w:p>
                            <w:p w14:paraId="7D9F7134" w14:textId="37643903" w:rsidR="00C239CC" w:rsidRPr="007631DF" w:rsidRDefault="00C239CC" w:rsidP="007631DF">
                              <w:pPr>
                                <w:pStyle w:val="ListParagraph"/>
                                <w:numPr>
                                  <w:ilvl w:val="1"/>
                                  <w:numId w:val="3"/>
                                </w:numPr>
                                <w:rPr>
                                  <w:rFonts w:eastAsia="Times New Roman"/>
                                </w:rPr>
                              </w:pPr>
                              <w:r>
                                <w:rPr>
                                  <w:color w:val="000000" w:themeColor="dark1"/>
                                  <w:kern w:val="24"/>
                                </w:rPr>
                                <w:t>Education</w:t>
                              </w:r>
                            </w:p>
                            <w:p w14:paraId="68C6E2A8" w14:textId="77777777" w:rsidR="00C239CC" w:rsidRDefault="00C239CC" w:rsidP="00D2457C">
                              <w:pPr>
                                <w:pStyle w:val="ListParagraph"/>
                                <w:numPr>
                                  <w:ilvl w:val="1"/>
                                  <w:numId w:val="3"/>
                                </w:numPr>
                                <w:rPr>
                                  <w:rFonts w:eastAsia="Times New Roman"/>
                                </w:rPr>
                              </w:pPr>
                              <w:r>
                                <w:rPr>
                                  <w:color w:val="000000" w:themeColor="dark1"/>
                                  <w:kern w:val="24"/>
                                </w:rPr>
                                <w:t>Savings</w:t>
                              </w:r>
                            </w:p>
                            <w:p w14:paraId="30F23028" w14:textId="77777777" w:rsidR="00C239CC" w:rsidRDefault="00C239CC" w:rsidP="00D2457C">
                              <w:pPr>
                                <w:pStyle w:val="ListParagraph"/>
                                <w:numPr>
                                  <w:ilvl w:val="1"/>
                                  <w:numId w:val="3"/>
                                </w:numPr>
                                <w:rPr>
                                  <w:rFonts w:eastAsia="Times New Roman"/>
                                </w:rPr>
                              </w:pPr>
                              <w:r>
                                <w:rPr>
                                  <w:color w:val="000000" w:themeColor="dark1"/>
                                  <w:kern w:val="24"/>
                                </w:rPr>
                                <w:t xml:space="preserve">Investment </w:t>
                              </w:r>
                            </w:p>
                          </w:txbxContent>
                        </wps:txbx>
                        <wps:bodyPr wrap="square" rtlCol="0">
                          <a:noAutofit/>
                        </wps:bodyPr>
                      </wps:wsp>
                      <wps:wsp>
                        <wps:cNvPr id="4" name="Straight Arrow Connector 4">
                          <a:extLst>
                            <a:ext uri="{FF2B5EF4-FFF2-40B4-BE49-F238E27FC236}">
                              <a16:creationId xmlns:a16="http://schemas.microsoft.com/office/drawing/2014/main" id="{5B784341-B61C-4E32-9658-A1D5BC69CF79}"/>
                            </a:ext>
                          </a:extLst>
                        </wps:cNvPr>
                        <wps:cNvCnPr>
                          <a:cxnSpLocks/>
                          <a:stCxn id="2" idx="3"/>
                          <a:endCxn id="3" idx="1"/>
                        </wps:cNvCnPr>
                        <wps:spPr>
                          <a:xfrm>
                            <a:off x="1476189" y="784830"/>
                            <a:ext cx="573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TextBox 7">
                          <a:extLst>
                            <a:ext uri="{FF2B5EF4-FFF2-40B4-BE49-F238E27FC236}">
                              <a16:creationId xmlns:a16="http://schemas.microsoft.com/office/drawing/2014/main" id="{795B3087-F079-44AD-BA56-355F395A665A}"/>
                            </a:ext>
                          </a:extLst>
                        </wps:cNvPr>
                        <wps:cNvSpPr txBox="1"/>
                        <wps:spPr>
                          <a:xfrm>
                            <a:off x="0" y="1892169"/>
                            <a:ext cx="1559560" cy="382270"/>
                          </a:xfrm>
                          <a:prstGeom prst="rect">
                            <a:avLst/>
                          </a:prstGeom>
                          <a:noFill/>
                        </wps:spPr>
                        <wps:txbx>
                          <w:txbxContent>
                            <w:p w14:paraId="47B260A9" w14:textId="77777777" w:rsidR="00C239CC" w:rsidRDefault="00C239CC" w:rsidP="00D2457C">
                              <w:pPr>
                                <w:rPr>
                                  <w:szCs w:val="24"/>
                                </w:rPr>
                              </w:pPr>
                              <w:r>
                                <w:rPr>
                                  <w:kern w:val="24"/>
                                </w:rPr>
                                <w:t>Independent Variable</w:t>
                              </w:r>
                            </w:p>
                          </w:txbxContent>
                        </wps:txbx>
                        <wps:bodyPr wrap="square" rtlCol="0">
                          <a:noAutofit/>
                        </wps:bodyPr>
                      </wps:wsp>
                      <wps:wsp>
                        <wps:cNvPr id="6" name="TextBox 8">
                          <a:extLst>
                            <a:ext uri="{FF2B5EF4-FFF2-40B4-BE49-F238E27FC236}">
                              <a16:creationId xmlns:a16="http://schemas.microsoft.com/office/drawing/2014/main" id="{F42F8340-BE9A-4DFA-AB3C-755298D23C7D}"/>
                            </a:ext>
                          </a:extLst>
                        </wps:cNvPr>
                        <wps:cNvSpPr txBox="1"/>
                        <wps:spPr>
                          <a:xfrm>
                            <a:off x="2408424" y="1906068"/>
                            <a:ext cx="1470025" cy="382270"/>
                          </a:xfrm>
                          <a:prstGeom prst="rect">
                            <a:avLst/>
                          </a:prstGeom>
                          <a:noFill/>
                        </wps:spPr>
                        <wps:txbx>
                          <w:txbxContent>
                            <w:p w14:paraId="3CC67D08" w14:textId="77777777" w:rsidR="00C239CC" w:rsidRDefault="00C239CC" w:rsidP="00D2457C">
                              <w:pPr>
                                <w:rPr>
                                  <w:szCs w:val="24"/>
                                </w:rPr>
                              </w:pPr>
                              <w:r>
                                <w:rPr>
                                  <w:kern w:val="24"/>
                                </w:rPr>
                                <w:t>Dependent Variable</w:t>
                              </w:r>
                            </w:p>
                          </w:txbxContent>
                        </wps:txbx>
                        <wps:bodyPr wrap="square" rtlCol="0">
                          <a:noAutofit/>
                        </wps:bodyPr>
                      </wps:wsp>
                      <wps:wsp>
                        <wps:cNvPr id="7" name="TextBox 10">
                          <a:extLst>
                            <a:ext uri="{FF2B5EF4-FFF2-40B4-BE49-F238E27FC236}">
                              <a16:creationId xmlns:a16="http://schemas.microsoft.com/office/drawing/2014/main" id="{8247A13E-C010-4BF1-ADF3-41AD6EF285D7}"/>
                            </a:ext>
                          </a:extLst>
                        </wps:cNvPr>
                        <wps:cNvSpPr txBox="1"/>
                        <wps:spPr>
                          <a:xfrm>
                            <a:off x="0" y="2183029"/>
                            <a:ext cx="1918335" cy="382270"/>
                          </a:xfrm>
                          <a:prstGeom prst="rect">
                            <a:avLst/>
                          </a:prstGeom>
                          <a:noFill/>
                        </wps:spPr>
                        <wps:txbx>
                          <w:txbxContent>
                            <w:p w14:paraId="0A918D89" w14:textId="77777777" w:rsidR="00C239CC" w:rsidRDefault="00C239CC" w:rsidP="00D2457C">
                              <w:pPr>
                                <w:rPr>
                                  <w:szCs w:val="24"/>
                                </w:rPr>
                              </w:pPr>
                              <w:r>
                                <w:rPr>
                                  <w:kern w:val="24"/>
                                </w:rPr>
                                <w:t xml:space="preserve">Source: </w:t>
                              </w:r>
                              <w:r>
                                <w:rPr>
                                  <w:color w:val="000000"/>
                                  <w:kern w:val="24"/>
                                </w:rPr>
                                <w:t>(Makina, 2024)</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2D8BA8C" id="Group 15" o:spid="_x0000_s1027" style="position:absolute;left:0;text-align:left;margin-left:123.45pt;margin-top:544.3pt;width:379.7pt;height:204pt;z-index:251659264;mso-position-horizontal-relative:page;mso-position-vertical-relative:page;mso-width-relative:margin;mso-height-relative:margin" coordsize="38786,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">
                <v:shape id="TextBox 3" o:spid="_x0000_s1028" type="#_x0000_t202" style="position:absolute;left:3197;top:6462;width:11563;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" fillcolor="white [3201]" strokecolor="black [3200]" strokeweight="1pt">
                  <v:textbox>
                    <w:txbxContent>
                      <w:p w14:paraId="3A8B2944" w14:textId="77777777" w:rsidR="00C239CC" w:rsidRDefault="00C239CC" w:rsidP="00D2457C">
                        <w:pPr>
                          <w:rPr>
                            <w:szCs w:val="24"/>
                          </w:rPr>
                        </w:pPr>
                        <w:r>
                          <w:rPr>
                            <w:color w:val="000000" w:themeColor="dark1"/>
                            <w:kern w:val="24"/>
                          </w:rPr>
                          <w:t>Remittance</w:t>
                        </w:r>
                      </w:p>
                    </w:txbxContent>
                  </v:textbox>
                </v:shape>
                <v:shape id="TextBox 4" o:spid="_x0000_s1029" type="#_x0000_t202" style="position:absolute;left:20498;width:18288;height:1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" fillcolor="white [3201]" strokecolor="black [3200]" strokeweight="1pt">
                  <v:textbox>
                    <w:txbxContent>
                      <w:p w14:paraId="2AFFE819" w14:textId="77777777" w:rsidR="00C239CC" w:rsidRDefault="00C239CC" w:rsidP="00D2457C">
                        <w:pPr>
                          <w:rPr>
                            <w:szCs w:val="24"/>
                          </w:rPr>
                        </w:pPr>
                        <w:r>
                          <w:rPr>
                            <w:color w:val="000000" w:themeColor="dark1"/>
                            <w:kern w:val="24"/>
                          </w:rPr>
                          <w:t>House Hold Expenditure</w:t>
                        </w:r>
                      </w:p>
                      <w:p w14:paraId="3677D994" w14:textId="77777777" w:rsidR="00C239CC" w:rsidRDefault="00C239CC" w:rsidP="00D2457C">
                        <w:pPr>
                          <w:pStyle w:val="ListParagraph"/>
                          <w:numPr>
                            <w:ilvl w:val="1"/>
                            <w:numId w:val="3"/>
                          </w:numPr>
                          <w:rPr>
                            <w:rFonts w:eastAsia="Times New Roman"/>
                          </w:rPr>
                        </w:pPr>
                        <w:r>
                          <w:rPr>
                            <w:color w:val="000000" w:themeColor="dark1"/>
                            <w:kern w:val="24"/>
                          </w:rPr>
                          <w:t>Food</w:t>
                        </w:r>
                      </w:p>
                      <w:p w14:paraId="2EE2DC15" w14:textId="77777777" w:rsidR="00C239CC" w:rsidRDefault="00C239CC" w:rsidP="00D2457C">
                        <w:pPr>
                          <w:pStyle w:val="ListParagraph"/>
                          <w:numPr>
                            <w:ilvl w:val="1"/>
                            <w:numId w:val="3"/>
                          </w:numPr>
                          <w:rPr>
                            <w:rFonts w:eastAsia="Times New Roman"/>
                          </w:rPr>
                        </w:pPr>
                        <w:r>
                          <w:rPr>
                            <w:color w:val="000000" w:themeColor="dark1"/>
                            <w:kern w:val="24"/>
                          </w:rPr>
                          <w:t>Shelter</w:t>
                        </w:r>
                      </w:p>
                      <w:p w14:paraId="5021D8E3" w14:textId="77777777" w:rsidR="00C239CC" w:rsidRDefault="00C239CC" w:rsidP="00D2457C">
                        <w:pPr>
                          <w:pStyle w:val="ListParagraph"/>
                          <w:numPr>
                            <w:ilvl w:val="1"/>
                            <w:numId w:val="3"/>
                          </w:numPr>
                          <w:rPr>
                            <w:rFonts w:eastAsia="Times New Roman"/>
                          </w:rPr>
                        </w:pPr>
                        <w:r>
                          <w:rPr>
                            <w:color w:val="000000" w:themeColor="dark1"/>
                            <w:kern w:val="24"/>
                          </w:rPr>
                          <w:t>Health</w:t>
                        </w:r>
                      </w:p>
                      <w:p w14:paraId="7D9F7134" w14:textId="37643903" w:rsidR="00C239CC" w:rsidRPr="007631DF" w:rsidRDefault="00C239CC" w:rsidP="007631DF">
                        <w:pPr>
                          <w:pStyle w:val="ListParagraph"/>
                          <w:numPr>
                            <w:ilvl w:val="1"/>
                            <w:numId w:val="3"/>
                          </w:numPr>
                          <w:rPr>
                            <w:rFonts w:eastAsia="Times New Roman"/>
                          </w:rPr>
                        </w:pPr>
                        <w:r>
                          <w:rPr>
                            <w:color w:val="000000" w:themeColor="dark1"/>
                            <w:kern w:val="24"/>
                          </w:rPr>
                          <w:t>Education</w:t>
                        </w:r>
                      </w:p>
                      <w:p w14:paraId="68C6E2A8" w14:textId="77777777" w:rsidR="00C239CC" w:rsidRDefault="00C239CC" w:rsidP="00D2457C">
                        <w:pPr>
                          <w:pStyle w:val="ListParagraph"/>
                          <w:numPr>
                            <w:ilvl w:val="1"/>
                            <w:numId w:val="3"/>
                          </w:numPr>
                          <w:rPr>
                            <w:rFonts w:eastAsia="Times New Roman"/>
                          </w:rPr>
                        </w:pPr>
                        <w:r>
                          <w:rPr>
                            <w:color w:val="000000" w:themeColor="dark1"/>
                            <w:kern w:val="24"/>
                          </w:rPr>
                          <w:t>Savings</w:t>
                        </w:r>
                      </w:p>
                      <w:p w14:paraId="30F23028" w14:textId="77777777" w:rsidR="00C239CC" w:rsidRDefault="00C239CC" w:rsidP="00D2457C">
                        <w:pPr>
                          <w:pStyle w:val="ListParagraph"/>
                          <w:numPr>
                            <w:ilvl w:val="1"/>
                            <w:numId w:val="3"/>
                          </w:numPr>
                          <w:rPr>
                            <w:rFonts w:eastAsia="Times New Roman"/>
                          </w:rPr>
                        </w:pPr>
                        <w:r>
                          <w:rPr>
                            <w:color w:val="000000" w:themeColor="dark1"/>
                            <w:kern w:val="24"/>
                          </w:rPr>
                          <w:t xml:space="preserve">Investment </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4761;top:7848;width:5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o:lock v:ext="edit" shapetype="f"/>
                </v:shape>
                <v:shape id="TextBox 7" o:spid="_x0000_s1031" type="#_x0000_t202" style="position:absolute;top:18921;width:1559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7B260A9" w14:textId="77777777" w:rsidR="00C239CC" w:rsidRDefault="00C239CC" w:rsidP="00D2457C">
                        <w:pPr>
                          <w:rPr>
                            <w:szCs w:val="24"/>
                          </w:rPr>
                        </w:pPr>
                        <w:r>
                          <w:rPr>
                            <w:kern w:val="24"/>
                          </w:rPr>
                          <w:t>Independent Variable</w:t>
                        </w:r>
                      </w:p>
                    </w:txbxContent>
                  </v:textbox>
                </v:shape>
                <v:shape id="TextBox 8" o:spid="_x0000_s1032" type="#_x0000_t202" style="position:absolute;left:24084;top:19060;width:147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CC67D08" w14:textId="77777777" w:rsidR="00C239CC" w:rsidRDefault="00C239CC" w:rsidP="00D2457C">
                        <w:pPr>
                          <w:rPr>
                            <w:szCs w:val="24"/>
                          </w:rPr>
                        </w:pPr>
                        <w:r>
                          <w:rPr>
                            <w:kern w:val="24"/>
                          </w:rPr>
                          <w:t>Dependent Variable</w:t>
                        </w:r>
                      </w:p>
                    </w:txbxContent>
                  </v:textbox>
                </v:shape>
                <v:shape id="TextBox 10" o:spid="_x0000_s1033" type="#_x0000_t202" style="position:absolute;top:21830;width:19183;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A918D89" w14:textId="77777777" w:rsidR="00C239CC" w:rsidRDefault="00C239CC" w:rsidP="00D2457C">
                        <w:pPr>
                          <w:rPr>
                            <w:szCs w:val="24"/>
                          </w:rPr>
                        </w:pPr>
                        <w:r>
                          <w:rPr>
                            <w:kern w:val="24"/>
                          </w:rPr>
                          <w:t xml:space="preserve">Source: </w:t>
                        </w:r>
                        <w:r>
                          <w:rPr>
                            <w:color w:val="000000"/>
                            <w:kern w:val="24"/>
                          </w:rPr>
                          <w:t>(Makina, 2024)</w:t>
                        </w:r>
                      </w:p>
                    </w:txbxContent>
                  </v:textbox>
                </v:shape>
                <w10:wrap type="topAndBottom" anchorx="page" anchory="page"/>
              </v:group>
            </w:pict>
          </mc:Fallback>
        </mc:AlternateContent>
      </w:r>
      <w:r>
        <w:t xml:space="preserve">The conceptual framework shows how remittance affects household expenditure in Arjun </w:t>
      </w:r>
      <w:proofErr w:type="spellStart"/>
      <w:r>
        <w:t>Chaupari</w:t>
      </w:r>
      <w:proofErr w:type="spellEnd"/>
      <w:r>
        <w:t xml:space="preserve"> Rural Municipality. Remittance is money sent by family members working abroad. It is the independent variable in this study. Household expenditure is the dependent variable. This includes spending on food, shelter, health, education, clothes, savings, and investment. Remittance is important for many families. It helps them meet their basic needs and improve their living standards. The different types of household expenditure show where remittance money is usually spent. </w:t>
      </w:r>
    </w:p>
    <w:p w14:paraId="6DA75CE7" w14:textId="7813FBB4" w:rsidR="00D2457C" w:rsidRDefault="00D2457C" w:rsidP="007B1BDB">
      <w:pPr>
        <w:pStyle w:val="NormalWeb"/>
        <w:spacing w:line="360" w:lineRule="auto"/>
        <w:jc w:val="both"/>
      </w:pPr>
      <w:r>
        <w:t>This framework helps us understand how remittance can make households more stable and improve their living conditions. It looks at how families use remittance money for different needs. This can help us find better ways to use remittance for rural development. The framework also highlights the importance of financial literacy. Families with good financial knowledge can use remittance money more effectively. They are more likely to save and invest for the future. Access to banking services is also important. It makes sending and receiving remittance easier and safer. It also encourages saving and investing.</w:t>
      </w:r>
    </w:p>
    <w:p w14:paraId="5432BFF9" w14:textId="08B32391" w:rsidR="00D2457C" w:rsidRDefault="00564244" w:rsidP="007B1BDB">
      <w:pPr>
        <w:pStyle w:val="NormalWeb"/>
        <w:spacing w:line="360" w:lineRule="auto"/>
        <w:jc w:val="both"/>
      </w:pPr>
      <w:r>
        <w:t>Th</w:t>
      </w:r>
      <w:r w:rsidR="00D2457C">
        <w:t>is conceptual framework provides a clear way to study the impact of remittance on household economy. It focuses on how remittance affects spending and what factors can improve its use. Understanding this can help families in rural areas use remittance money more wisely and improve their lives.</w:t>
      </w:r>
    </w:p>
    <w:p w14:paraId="5B68223A" w14:textId="5D5BF0ED" w:rsidR="007E1297" w:rsidRDefault="007E1297" w:rsidP="007B1BDB">
      <w:pPr>
        <w:spacing w:line="360" w:lineRule="auto"/>
        <w:jc w:val="left"/>
        <w:rPr>
          <w:rFonts w:eastAsia="Times New Roman" w:cs="Times New Roman"/>
          <w:color w:val="auto"/>
          <w:szCs w:val="24"/>
        </w:rPr>
      </w:pPr>
      <w:r>
        <w:br w:type="page"/>
      </w:r>
    </w:p>
    <w:p w14:paraId="6B508C6A" w14:textId="7E084509" w:rsidR="007E1297" w:rsidRDefault="007E1297" w:rsidP="007B1BDB">
      <w:pPr>
        <w:pStyle w:val="Heading1"/>
        <w:rPr>
          <w:sz w:val="27"/>
        </w:rPr>
      </w:pPr>
      <w:bookmarkStart w:id="18" w:name="_Toc171485428"/>
      <w:r>
        <w:lastRenderedPageBreak/>
        <w:t>CHAPTER III</w:t>
      </w:r>
      <w:r>
        <w:br/>
        <w:t>RESEARCH METHODOLOGY</w:t>
      </w:r>
      <w:bookmarkEnd w:id="18"/>
    </w:p>
    <w:p w14:paraId="0C27AFA7" w14:textId="77777777" w:rsidR="007E1297" w:rsidRDefault="007E1297" w:rsidP="007B1BDB">
      <w:pPr>
        <w:pStyle w:val="Heading2"/>
      </w:pPr>
      <w:bookmarkStart w:id="19" w:name="_Toc171485429"/>
      <w:r>
        <w:t>3.1 Research Design</w:t>
      </w:r>
      <w:bookmarkEnd w:id="19"/>
    </w:p>
    <w:p w14:paraId="698A57EE" w14:textId="77777777" w:rsidR="007E1297" w:rsidRDefault="007E1297" w:rsidP="007B1BDB">
      <w:pPr>
        <w:pStyle w:val="NormalWeb"/>
        <w:spacing w:line="360" w:lineRule="auto"/>
        <w:jc w:val="both"/>
      </w:pPr>
      <w:r>
        <w:t>This study uses a quantitative research design. It focuses on collecting numerical data and analyzing it to understand the impact of remittance on household expenditure. The main tool for data collection is a structured questionnaire. The data will be analyzed using Excel.</w:t>
      </w:r>
    </w:p>
    <w:p w14:paraId="7B5C437D" w14:textId="77777777" w:rsidR="007E1297" w:rsidRDefault="007E1297" w:rsidP="007B1BDB">
      <w:pPr>
        <w:pStyle w:val="Heading2"/>
      </w:pPr>
      <w:bookmarkStart w:id="20" w:name="_Toc171485430"/>
      <w:r>
        <w:t>3.2 Population and Sample</w:t>
      </w:r>
      <w:bookmarkEnd w:id="20"/>
    </w:p>
    <w:p w14:paraId="1D96002F" w14:textId="77777777" w:rsidR="007E1297" w:rsidRDefault="007E1297" w:rsidP="007B1BDB">
      <w:pPr>
        <w:pStyle w:val="NormalWeb"/>
        <w:spacing w:line="360" w:lineRule="auto"/>
        <w:jc w:val="both"/>
      </w:pPr>
      <w:r>
        <w:t xml:space="preserve">The total number of families in Arjun </w:t>
      </w:r>
      <w:proofErr w:type="spellStart"/>
      <w:r>
        <w:t>Chaupari</w:t>
      </w:r>
      <w:proofErr w:type="spellEnd"/>
      <w:r>
        <w:t xml:space="preserve"> Rural Municipality is 3,810. According to a UNDP report published in 2022, 56% of households in Nepal receive remittance. Therefore, our study population is 56% of 3,810 families, which equals 2,134 families. From this population, we will take a sample of 150 families. We will use convenience sampling to select the sample.</w:t>
      </w:r>
    </w:p>
    <w:p w14:paraId="1E91C299" w14:textId="77777777" w:rsidR="007E1297" w:rsidRDefault="007E1297" w:rsidP="007B1BDB">
      <w:pPr>
        <w:pStyle w:val="Heading2"/>
      </w:pPr>
      <w:bookmarkStart w:id="21" w:name="_Toc171485431"/>
      <w:r>
        <w:t>3.3 Nature and Sources of Data</w:t>
      </w:r>
      <w:bookmarkEnd w:id="21"/>
    </w:p>
    <w:p w14:paraId="58E331E9" w14:textId="77777777" w:rsidR="007E1297" w:rsidRDefault="007E1297" w:rsidP="007B1BDB">
      <w:pPr>
        <w:pStyle w:val="NormalWeb"/>
        <w:spacing w:line="360" w:lineRule="auto"/>
        <w:jc w:val="both"/>
      </w:pPr>
      <w:r>
        <w:t>The data for this study is primary data. It will be collected directly from the families using a self-administered questionnaire. This means the families will fill out the questionnaire themselves.</w:t>
      </w:r>
    </w:p>
    <w:p w14:paraId="1EFE98AE" w14:textId="77777777" w:rsidR="007E1297" w:rsidRDefault="007E1297" w:rsidP="007B1BDB">
      <w:pPr>
        <w:pStyle w:val="Heading2"/>
      </w:pPr>
      <w:bookmarkStart w:id="22" w:name="_Toc171485432"/>
      <w:r>
        <w:t>3.4 Instrumentation</w:t>
      </w:r>
      <w:bookmarkEnd w:id="22"/>
    </w:p>
    <w:p w14:paraId="2834074E" w14:textId="77777777" w:rsidR="007E1297" w:rsidRDefault="007E1297" w:rsidP="007B1BDB">
      <w:pPr>
        <w:pStyle w:val="NormalWeb"/>
        <w:spacing w:line="360" w:lineRule="auto"/>
        <w:jc w:val="both"/>
      </w:pPr>
      <w:r>
        <w:t>The main instrument for data collection is a structured questionnaire. The questionnaire will have simple and clear questions. It will cover different areas of household expenditure and remittance.</w:t>
      </w:r>
    </w:p>
    <w:p w14:paraId="6F0908BC" w14:textId="77777777" w:rsidR="007E1297" w:rsidRDefault="007E1297" w:rsidP="007B1BDB">
      <w:pPr>
        <w:pStyle w:val="Heading2"/>
      </w:pPr>
      <w:bookmarkStart w:id="23" w:name="_Toc171485433"/>
      <w:r>
        <w:t>3.5 Data Analysis Tools</w:t>
      </w:r>
      <w:bookmarkEnd w:id="23"/>
    </w:p>
    <w:p w14:paraId="48A1067D" w14:textId="31870DB9" w:rsidR="007E1297" w:rsidRDefault="007E1297" w:rsidP="007B1BDB">
      <w:pPr>
        <w:pStyle w:val="NormalWeb"/>
        <w:spacing w:line="360" w:lineRule="auto"/>
        <w:jc w:val="both"/>
      </w:pPr>
      <w:r>
        <w:t>The data collected through the questionnaire will be analyzed using Excel. Excel will help to organize the data, perform calculations, and create charts and graphs. This will make it easier to understand the impact of remittance on household expenditure.</w:t>
      </w:r>
    </w:p>
    <w:p w14:paraId="7F49E679" w14:textId="79A3844C" w:rsidR="00E905FC" w:rsidRDefault="00E905FC" w:rsidP="007B1BDB">
      <w:pPr>
        <w:spacing w:line="360" w:lineRule="auto"/>
        <w:jc w:val="left"/>
      </w:pPr>
      <w:r>
        <w:br w:type="page"/>
      </w:r>
    </w:p>
    <w:p w14:paraId="11173DE4" w14:textId="1B6616A8" w:rsidR="00591AA9" w:rsidRDefault="001812B9" w:rsidP="007B1BDB">
      <w:pPr>
        <w:pStyle w:val="Heading1"/>
      </w:pPr>
      <w:bookmarkStart w:id="24" w:name="_Toc171485434"/>
      <w:r>
        <w:lastRenderedPageBreak/>
        <w:t xml:space="preserve">CHAPTER IV </w:t>
      </w:r>
      <w:r>
        <w:br/>
      </w:r>
      <w:r w:rsidRPr="001812B9">
        <w:t>ANALYSIS AND RESULTS</w:t>
      </w:r>
      <w:bookmarkEnd w:id="24"/>
    </w:p>
    <w:p w14:paraId="2A839A3E" w14:textId="0DFB403E" w:rsidR="00591AA9" w:rsidRDefault="00591AA9" w:rsidP="007B1BDB">
      <w:pPr>
        <w:spacing w:line="360" w:lineRule="auto"/>
        <w:jc w:val="left"/>
      </w:pPr>
    </w:p>
    <w:p w14:paraId="7ADC34A1" w14:textId="2C78EEC8" w:rsidR="00591AA9" w:rsidRDefault="0016262D" w:rsidP="007B1BDB">
      <w:pPr>
        <w:pStyle w:val="Heading2"/>
      </w:pPr>
      <w:bookmarkStart w:id="25" w:name="_Toc171485435"/>
      <w:r>
        <w:t>Demographics</w:t>
      </w:r>
      <w:bookmarkEnd w:id="25"/>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891"/>
        <w:gridCol w:w="1297"/>
        <w:gridCol w:w="1410"/>
        <w:gridCol w:w="1241"/>
        <w:gridCol w:w="1688"/>
        <w:gridCol w:w="1779"/>
      </w:tblGrid>
      <w:tr w:rsidR="001812B9" w:rsidRPr="00CD7168" w14:paraId="4965301E" w14:textId="77777777" w:rsidTr="0089185E">
        <w:trPr>
          <w:cantSplit/>
        </w:trPr>
        <w:tc>
          <w:tcPr>
            <w:tcW w:w="5000" w:type="pct"/>
            <w:gridSpan w:val="6"/>
            <w:tcBorders>
              <w:bottom w:val="single" w:sz="4" w:space="0" w:color="auto"/>
            </w:tcBorders>
            <w:shd w:val="clear" w:color="auto" w:fill="auto"/>
            <w:vAlign w:val="center"/>
          </w:tcPr>
          <w:p w14:paraId="5CBFE947" w14:textId="77777777" w:rsidR="001812B9" w:rsidRPr="00CD7168" w:rsidRDefault="001812B9" w:rsidP="00A83E8B">
            <w:pPr>
              <w:jc w:val="center"/>
            </w:pPr>
            <w:r w:rsidRPr="00CD7168">
              <w:t>Age:</w:t>
            </w:r>
          </w:p>
        </w:tc>
      </w:tr>
      <w:tr w:rsidR="001812B9" w:rsidRPr="00CD7168" w14:paraId="239825DF" w14:textId="77777777" w:rsidTr="0089185E">
        <w:trPr>
          <w:cantSplit/>
        </w:trPr>
        <w:tc>
          <w:tcPr>
            <w:tcW w:w="1317" w:type="pct"/>
            <w:gridSpan w:val="2"/>
            <w:tcBorders>
              <w:top w:val="single" w:sz="4" w:space="0" w:color="auto"/>
              <w:bottom w:val="single" w:sz="4" w:space="0" w:color="auto"/>
            </w:tcBorders>
            <w:shd w:val="clear" w:color="auto" w:fill="auto"/>
            <w:vAlign w:val="bottom"/>
          </w:tcPr>
          <w:p w14:paraId="49F3DB3F" w14:textId="77777777" w:rsidR="001812B9" w:rsidRPr="00CD7168" w:rsidRDefault="001812B9" w:rsidP="007B1BDB">
            <w:pPr>
              <w:autoSpaceDE w:val="0"/>
              <w:autoSpaceDN w:val="0"/>
              <w:adjustRightInd w:val="0"/>
              <w:spacing w:after="0" w:line="360" w:lineRule="auto"/>
              <w:jc w:val="left"/>
              <w:rPr>
                <w:rFonts w:cs="Times New Roman"/>
                <w:szCs w:val="24"/>
              </w:rPr>
            </w:pPr>
          </w:p>
        </w:tc>
        <w:tc>
          <w:tcPr>
            <w:tcW w:w="849" w:type="pct"/>
            <w:tcBorders>
              <w:top w:val="single" w:sz="4" w:space="0" w:color="auto"/>
              <w:bottom w:val="single" w:sz="4" w:space="0" w:color="auto"/>
            </w:tcBorders>
            <w:shd w:val="clear" w:color="auto" w:fill="auto"/>
            <w:vAlign w:val="bottom"/>
          </w:tcPr>
          <w:p w14:paraId="2B2ECC64" w14:textId="77777777" w:rsidR="001812B9" w:rsidRPr="00CD7168" w:rsidRDefault="001812B9" w:rsidP="007B1BDB">
            <w:pPr>
              <w:autoSpaceDE w:val="0"/>
              <w:autoSpaceDN w:val="0"/>
              <w:adjustRightInd w:val="0"/>
              <w:spacing w:after="0" w:line="360" w:lineRule="auto"/>
              <w:ind w:left="60" w:right="60"/>
              <w:jc w:val="center"/>
              <w:rPr>
                <w:rFonts w:ascii="Arial" w:hAnsi="Arial" w:cs="Arial"/>
                <w:sz w:val="18"/>
                <w:szCs w:val="18"/>
              </w:rPr>
            </w:pPr>
            <w:r w:rsidRPr="00CD7168">
              <w:rPr>
                <w:rFonts w:ascii="Arial" w:hAnsi="Arial" w:cs="Arial"/>
                <w:sz w:val="18"/>
                <w:szCs w:val="18"/>
              </w:rPr>
              <w:t>Frequency</w:t>
            </w:r>
          </w:p>
        </w:tc>
        <w:tc>
          <w:tcPr>
            <w:tcW w:w="747" w:type="pct"/>
            <w:tcBorders>
              <w:top w:val="single" w:sz="4" w:space="0" w:color="auto"/>
              <w:bottom w:val="single" w:sz="4" w:space="0" w:color="auto"/>
            </w:tcBorders>
            <w:shd w:val="clear" w:color="auto" w:fill="auto"/>
            <w:vAlign w:val="bottom"/>
          </w:tcPr>
          <w:p w14:paraId="3D63DD43" w14:textId="77777777" w:rsidR="001812B9" w:rsidRPr="00CD7168" w:rsidRDefault="001812B9" w:rsidP="007B1BDB">
            <w:pPr>
              <w:autoSpaceDE w:val="0"/>
              <w:autoSpaceDN w:val="0"/>
              <w:adjustRightInd w:val="0"/>
              <w:spacing w:after="0" w:line="360" w:lineRule="auto"/>
              <w:ind w:left="60" w:right="60"/>
              <w:jc w:val="center"/>
              <w:rPr>
                <w:rFonts w:ascii="Arial" w:hAnsi="Arial" w:cs="Arial"/>
                <w:sz w:val="18"/>
                <w:szCs w:val="18"/>
              </w:rPr>
            </w:pPr>
            <w:r w:rsidRPr="00CD7168">
              <w:rPr>
                <w:rFonts w:ascii="Arial" w:hAnsi="Arial" w:cs="Arial"/>
                <w:sz w:val="18"/>
                <w:szCs w:val="18"/>
              </w:rPr>
              <w:t>Percent</w:t>
            </w:r>
          </w:p>
        </w:tc>
        <w:tc>
          <w:tcPr>
            <w:tcW w:w="1016" w:type="pct"/>
            <w:tcBorders>
              <w:top w:val="single" w:sz="4" w:space="0" w:color="auto"/>
              <w:bottom w:val="single" w:sz="4" w:space="0" w:color="auto"/>
            </w:tcBorders>
            <w:shd w:val="clear" w:color="auto" w:fill="auto"/>
            <w:vAlign w:val="bottom"/>
          </w:tcPr>
          <w:p w14:paraId="3B2C3160" w14:textId="77777777" w:rsidR="001812B9" w:rsidRPr="00CD7168" w:rsidRDefault="001812B9" w:rsidP="007B1BDB">
            <w:pPr>
              <w:autoSpaceDE w:val="0"/>
              <w:autoSpaceDN w:val="0"/>
              <w:adjustRightInd w:val="0"/>
              <w:spacing w:after="0" w:line="360" w:lineRule="auto"/>
              <w:ind w:left="60" w:right="60"/>
              <w:jc w:val="center"/>
              <w:rPr>
                <w:rFonts w:ascii="Arial" w:hAnsi="Arial" w:cs="Arial"/>
                <w:sz w:val="18"/>
                <w:szCs w:val="18"/>
              </w:rPr>
            </w:pPr>
            <w:r w:rsidRPr="00CD7168">
              <w:rPr>
                <w:rFonts w:ascii="Arial" w:hAnsi="Arial" w:cs="Arial"/>
                <w:sz w:val="18"/>
                <w:szCs w:val="18"/>
              </w:rPr>
              <w:t>Valid Percent</w:t>
            </w:r>
          </w:p>
        </w:tc>
        <w:tc>
          <w:tcPr>
            <w:tcW w:w="1071" w:type="pct"/>
            <w:tcBorders>
              <w:top w:val="single" w:sz="4" w:space="0" w:color="auto"/>
              <w:bottom w:val="single" w:sz="4" w:space="0" w:color="auto"/>
            </w:tcBorders>
            <w:shd w:val="clear" w:color="auto" w:fill="auto"/>
            <w:vAlign w:val="bottom"/>
          </w:tcPr>
          <w:p w14:paraId="296F0824" w14:textId="77777777" w:rsidR="001812B9" w:rsidRPr="00CD7168" w:rsidRDefault="001812B9" w:rsidP="007B1BDB">
            <w:pPr>
              <w:autoSpaceDE w:val="0"/>
              <w:autoSpaceDN w:val="0"/>
              <w:adjustRightInd w:val="0"/>
              <w:spacing w:after="0" w:line="360" w:lineRule="auto"/>
              <w:ind w:left="60" w:right="60"/>
              <w:jc w:val="center"/>
              <w:rPr>
                <w:rFonts w:ascii="Arial" w:hAnsi="Arial" w:cs="Arial"/>
                <w:sz w:val="18"/>
                <w:szCs w:val="18"/>
              </w:rPr>
            </w:pPr>
            <w:r w:rsidRPr="00CD7168">
              <w:rPr>
                <w:rFonts w:ascii="Arial" w:hAnsi="Arial" w:cs="Arial"/>
                <w:sz w:val="18"/>
                <w:szCs w:val="18"/>
              </w:rPr>
              <w:t>Cumulative Percent</w:t>
            </w:r>
          </w:p>
        </w:tc>
      </w:tr>
      <w:tr w:rsidR="001812B9" w:rsidRPr="00CD7168" w14:paraId="37126EC3" w14:textId="77777777" w:rsidTr="0089185E">
        <w:trPr>
          <w:cantSplit/>
        </w:trPr>
        <w:tc>
          <w:tcPr>
            <w:tcW w:w="536" w:type="pct"/>
            <w:vMerge w:val="restart"/>
            <w:tcBorders>
              <w:top w:val="single" w:sz="4" w:space="0" w:color="auto"/>
            </w:tcBorders>
            <w:shd w:val="clear" w:color="auto" w:fill="auto"/>
          </w:tcPr>
          <w:p w14:paraId="1EF198DB"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p>
        </w:tc>
        <w:tc>
          <w:tcPr>
            <w:tcW w:w="781" w:type="pct"/>
            <w:tcBorders>
              <w:top w:val="single" w:sz="4" w:space="0" w:color="auto"/>
            </w:tcBorders>
            <w:shd w:val="clear" w:color="auto" w:fill="auto"/>
          </w:tcPr>
          <w:p w14:paraId="3581CFEB"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r w:rsidRPr="00CD7168">
              <w:rPr>
                <w:rFonts w:ascii="Arial" w:hAnsi="Arial" w:cs="Arial"/>
                <w:sz w:val="18"/>
                <w:szCs w:val="18"/>
              </w:rPr>
              <w:t>Under 20</w:t>
            </w:r>
          </w:p>
        </w:tc>
        <w:tc>
          <w:tcPr>
            <w:tcW w:w="849" w:type="pct"/>
            <w:tcBorders>
              <w:top w:val="single" w:sz="4" w:space="0" w:color="auto"/>
            </w:tcBorders>
            <w:shd w:val="clear" w:color="auto" w:fill="auto"/>
          </w:tcPr>
          <w:p w14:paraId="5012335A"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63</w:t>
            </w:r>
          </w:p>
        </w:tc>
        <w:tc>
          <w:tcPr>
            <w:tcW w:w="747" w:type="pct"/>
            <w:tcBorders>
              <w:top w:val="single" w:sz="4" w:space="0" w:color="auto"/>
            </w:tcBorders>
            <w:shd w:val="clear" w:color="auto" w:fill="auto"/>
          </w:tcPr>
          <w:p w14:paraId="6548DA63"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40.4</w:t>
            </w:r>
          </w:p>
        </w:tc>
        <w:tc>
          <w:tcPr>
            <w:tcW w:w="1016" w:type="pct"/>
            <w:tcBorders>
              <w:top w:val="single" w:sz="4" w:space="0" w:color="auto"/>
            </w:tcBorders>
            <w:shd w:val="clear" w:color="auto" w:fill="auto"/>
          </w:tcPr>
          <w:p w14:paraId="36EEE7E0"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40.4</w:t>
            </w:r>
          </w:p>
        </w:tc>
        <w:tc>
          <w:tcPr>
            <w:tcW w:w="1071" w:type="pct"/>
            <w:tcBorders>
              <w:top w:val="single" w:sz="4" w:space="0" w:color="auto"/>
            </w:tcBorders>
            <w:shd w:val="clear" w:color="auto" w:fill="auto"/>
          </w:tcPr>
          <w:p w14:paraId="06424309"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40.4</w:t>
            </w:r>
          </w:p>
        </w:tc>
      </w:tr>
      <w:tr w:rsidR="001812B9" w:rsidRPr="00CD7168" w14:paraId="1BBA98C6" w14:textId="77777777" w:rsidTr="0089185E">
        <w:trPr>
          <w:cantSplit/>
        </w:trPr>
        <w:tc>
          <w:tcPr>
            <w:tcW w:w="536" w:type="pct"/>
            <w:vMerge/>
            <w:shd w:val="clear" w:color="auto" w:fill="auto"/>
          </w:tcPr>
          <w:p w14:paraId="592FF50C" w14:textId="77777777" w:rsidR="001812B9" w:rsidRPr="00CD7168" w:rsidRDefault="001812B9" w:rsidP="007B1BDB">
            <w:pPr>
              <w:autoSpaceDE w:val="0"/>
              <w:autoSpaceDN w:val="0"/>
              <w:adjustRightInd w:val="0"/>
              <w:spacing w:after="0" w:line="360" w:lineRule="auto"/>
              <w:jc w:val="left"/>
              <w:rPr>
                <w:rFonts w:ascii="Arial" w:hAnsi="Arial" w:cs="Arial"/>
                <w:sz w:val="18"/>
                <w:szCs w:val="18"/>
              </w:rPr>
            </w:pPr>
          </w:p>
        </w:tc>
        <w:tc>
          <w:tcPr>
            <w:tcW w:w="781" w:type="pct"/>
            <w:shd w:val="clear" w:color="auto" w:fill="auto"/>
          </w:tcPr>
          <w:p w14:paraId="1FD8AEC5"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r w:rsidRPr="00CD7168">
              <w:rPr>
                <w:rFonts w:ascii="Arial" w:hAnsi="Arial" w:cs="Arial"/>
                <w:sz w:val="18"/>
                <w:szCs w:val="18"/>
              </w:rPr>
              <w:t>20-30</w:t>
            </w:r>
          </w:p>
        </w:tc>
        <w:tc>
          <w:tcPr>
            <w:tcW w:w="849" w:type="pct"/>
            <w:shd w:val="clear" w:color="auto" w:fill="auto"/>
          </w:tcPr>
          <w:p w14:paraId="56B57423"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30</w:t>
            </w:r>
          </w:p>
        </w:tc>
        <w:tc>
          <w:tcPr>
            <w:tcW w:w="747" w:type="pct"/>
            <w:shd w:val="clear" w:color="auto" w:fill="auto"/>
          </w:tcPr>
          <w:p w14:paraId="0A3541E1"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19.2</w:t>
            </w:r>
          </w:p>
        </w:tc>
        <w:tc>
          <w:tcPr>
            <w:tcW w:w="1016" w:type="pct"/>
            <w:shd w:val="clear" w:color="auto" w:fill="auto"/>
          </w:tcPr>
          <w:p w14:paraId="382CFC14"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19.2</w:t>
            </w:r>
          </w:p>
        </w:tc>
        <w:tc>
          <w:tcPr>
            <w:tcW w:w="1071" w:type="pct"/>
            <w:shd w:val="clear" w:color="auto" w:fill="auto"/>
          </w:tcPr>
          <w:p w14:paraId="30CF4C9B"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59.6</w:t>
            </w:r>
          </w:p>
        </w:tc>
      </w:tr>
      <w:tr w:rsidR="001812B9" w:rsidRPr="00CD7168" w14:paraId="6A875A41" w14:textId="77777777" w:rsidTr="0089185E">
        <w:trPr>
          <w:cantSplit/>
        </w:trPr>
        <w:tc>
          <w:tcPr>
            <w:tcW w:w="536" w:type="pct"/>
            <w:vMerge/>
            <w:shd w:val="clear" w:color="auto" w:fill="auto"/>
          </w:tcPr>
          <w:p w14:paraId="60839BD3" w14:textId="77777777" w:rsidR="001812B9" w:rsidRPr="00CD7168" w:rsidRDefault="001812B9" w:rsidP="007B1BDB">
            <w:pPr>
              <w:autoSpaceDE w:val="0"/>
              <w:autoSpaceDN w:val="0"/>
              <w:adjustRightInd w:val="0"/>
              <w:spacing w:after="0" w:line="360" w:lineRule="auto"/>
              <w:jc w:val="left"/>
              <w:rPr>
                <w:rFonts w:ascii="Arial" w:hAnsi="Arial" w:cs="Arial"/>
                <w:sz w:val="18"/>
                <w:szCs w:val="18"/>
              </w:rPr>
            </w:pPr>
          </w:p>
        </w:tc>
        <w:tc>
          <w:tcPr>
            <w:tcW w:w="781" w:type="pct"/>
            <w:shd w:val="clear" w:color="auto" w:fill="auto"/>
          </w:tcPr>
          <w:p w14:paraId="33FDDAD3"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r w:rsidRPr="00CD7168">
              <w:rPr>
                <w:rFonts w:ascii="Arial" w:hAnsi="Arial" w:cs="Arial"/>
                <w:sz w:val="18"/>
                <w:szCs w:val="18"/>
              </w:rPr>
              <w:t>31-40</w:t>
            </w:r>
          </w:p>
        </w:tc>
        <w:tc>
          <w:tcPr>
            <w:tcW w:w="849" w:type="pct"/>
            <w:shd w:val="clear" w:color="auto" w:fill="auto"/>
          </w:tcPr>
          <w:p w14:paraId="2CC09D15"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26</w:t>
            </w:r>
          </w:p>
        </w:tc>
        <w:tc>
          <w:tcPr>
            <w:tcW w:w="747" w:type="pct"/>
            <w:shd w:val="clear" w:color="auto" w:fill="auto"/>
          </w:tcPr>
          <w:p w14:paraId="7456EC97"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16.7</w:t>
            </w:r>
          </w:p>
        </w:tc>
        <w:tc>
          <w:tcPr>
            <w:tcW w:w="1016" w:type="pct"/>
            <w:shd w:val="clear" w:color="auto" w:fill="auto"/>
          </w:tcPr>
          <w:p w14:paraId="45BF6560"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16.7</w:t>
            </w:r>
          </w:p>
        </w:tc>
        <w:tc>
          <w:tcPr>
            <w:tcW w:w="1071" w:type="pct"/>
            <w:shd w:val="clear" w:color="auto" w:fill="auto"/>
          </w:tcPr>
          <w:p w14:paraId="5AA0EBEA"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76.3</w:t>
            </w:r>
          </w:p>
        </w:tc>
      </w:tr>
      <w:tr w:rsidR="001812B9" w:rsidRPr="00CD7168" w14:paraId="1748F526" w14:textId="77777777" w:rsidTr="0089185E">
        <w:trPr>
          <w:cantSplit/>
        </w:trPr>
        <w:tc>
          <w:tcPr>
            <w:tcW w:w="536" w:type="pct"/>
            <w:vMerge/>
            <w:shd w:val="clear" w:color="auto" w:fill="auto"/>
          </w:tcPr>
          <w:p w14:paraId="659E5F2E" w14:textId="77777777" w:rsidR="001812B9" w:rsidRPr="00CD7168" w:rsidRDefault="001812B9" w:rsidP="007B1BDB">
            <w:pPr>
              <w:autoSpaceDE w:val="0"/>
              <w:autoSpaceDN w:val="0"/>
              <w:adjustRightInd w:val="0"/>
              <w:spacing w:after="0" w:line="360" w:lineRule="auto"/>
              <w:jc w:val="left"/>
              <w:rPr>
                <w:rFonts w:ascii="Arial" w:hAnsi="Arial" w:cs="Arial"/>
                <w:sz w:val="18"/>
                <w:szCs w:val="18"/>
              </w:rPr>
            </w:pPr>
          </w:p>
        </w:tc>
        <w:tc>
          <w:tcPr>
            <w:tcW w:w="781" w:type="pct"/>
            <w:shd w:val="clear" w:color="auto" w:fill="auto"/>
          </w:tcPr>
          <w:p w14:paraId="07B65350"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r w:rsidRPr="00CD7168">
              <w:rPr>
                <w:rFonts w:ascii="Arial" w:hAnsi="Arial" w:cs="Arial"/>
                <w:sz w:val="18"/>
                <w:szCs w:val="18"/>
              </w:rPr>
              <w:t>41-50</w:t>
            </w:r>
          </w:p>
        </w:tc>
        <w:tc>
          <w:tcPr>
            <w:tcW w:w="849" w:type="pct"/>
            <w:shd w:val="clear" w:color="auto" w:fill="auto"/>
          </w:tcPr>
          <w:p w14:paraId="78A6D13E"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26</w:t>
            </w:r>
          </w:p>
        </w:tc>
        <w:tc>
          <w:tcPr>
            <w:tcW w:w="747" w:type="pct"/>
            <w:shd w:val="clear" w:color="auto" w:fill="auto"/>
          </w:tcPr>
          <w:p w14:paraId="32B625AB"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16.7</w:t>
            </w:r>
          </w:p>
        </w:tc>
        <w:tc>
          <w:tcPr>
            <w:tcW w:w="1016" w:type="pct"/>
            <w:shd w:val="clear" w:color="auto" w:fill="auto"/>
          </w:tcPr>
          <w:p w14:paraId="10CFEB90"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16.7</w:t>
            </w:r>
          </w:p>
        </w:tc>
        <w:tc>
          <w:tcPr>
            <w:tcW w:w="1071" w:type="pct"/>
            <w:shd w:val="clear" w:color="auto" w:fill="auto"/>
          </w:tcPr>
          <w:p w14:paraId="138CB002"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92.9</w:t>
            </w:r>
          </w:p>
        </w:tc>
      </w:tr>
      <w:tr w:rsidR="001812B9" w:rsidRPr="00CD7168" w14:paraId="0D16829A" w14:textId="77777777" w:rsidTr="0089185E">
        <w:trPr>
          <w:cantSplit/>
        </w:trPr>
        <w:tc>
          <w:tcPr>
            <w:tcW w:w="536" w:type="pct"/>
            <w:vMerge/>
            <w:shd w:val="clear" w:color="auto" w:fill="auto"/>
          </w:tcPr>
          <w:p w14:paraId="64F18406" w14:textId="77777777" w:rsidR="001812B9" w:rsidRPr="00CD7168" w:rsidRDefault="001812B9" w:rsidP="007B1BDB">
            <w:pPr>
              <w:autoSpaceDE w:val="0"/>
              <w:autoSpaceDN w:val="0"/>
              <w:adjustRightInd w:val="0"/>
              <w:spacing w:after="0" w:line="360" w:lineRule="auto"/>
              <w:jc w:val="left"/>
              <w:rPr>
                <w:rFonts w:ascii="Arial" w:hAnsi="Arial" w:cs="Arial"/>
                <w:sz w:val="18"/>
                <w:szCs w:val="18"/>
              </w:rPr>
            </w:pPr>
          </w:p>
        </w:tc>
        <w:tc>
          <w:tcPr>
            <w:tcW w:w="781" w:type="pct"/>
            <w:shd w:val="clear" w:color="auto" w:fill="auto"/>
          </w:tcPr>
          <w:p w14:paraId="2062D67D"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r w:rsidRPr="00CD7168">
              <w:rPr>
                <w:rFonts w:ascii="Arial" w:hAnsi="Arial" w:cs="Arial"/>
                <w:sz w:val="18"/>
                <w:szCs w:val="18"/>
              </w:rPr>
              <w:t>Above 50</w:t>
            </w:r>
          </w:p>
        </w:tc>
        <w:tc>
          <w:tcPr>
            <w:tcW w:w="849" w:type="pct"/>
            <w:shd w:val="clear" w:color="auto" w:fill="auto"/>
          </w:tcPr>
          <w:p w14:paraId="0ACB3A00"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11</w:t>
            </w:r>
          </w:p>
        </w:tc>
        <w:tc>
          <w:tcPr>
            <w:tcW w:w="747" w:type="pct"/>
            <w:shd w:val="clear" w:color="auto" w:fill="auto"/>
          </w:tcPr>
          <w:p w14:paraId="317CDB82"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7.1</w:t>
            </w:r>
          </w:p>
        </w:tc>
        <w:tc>
          <w:tcPr>
            <w:tcW w:w="1016" w:type="pct"/>
            <w:shd w:val="clear" w:color="auto" w:fill="auto"/>
          </w:tcPr>
          <w:p w14:paraId="1DFDC4F9"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7.1</w:t>
            </w:r>
          </w:p>
        </w:tc>
        <w:tc>
          <w:tcPr>
            <w:tcW w:w="1071" w:type="pct"/>
            <w:shd w:val="clear" w:color="auto" w:fill="auto"/>
          </w:tcPr>
          <w:p w14:paraId="2B7A4785"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100.0</w:t>
            </w:r>
          </w:p>
        </w:tc>
      </w:tr>
      <w:tr w:rsidR="001812B9" w:rsidRPr="00CD7168" w14:paraId="13AB4FAF" w14:textId="77777777" w:rsidTr="0089185E">
        <w:trPr>
          <w:cantSplit/>
        </w:trPr>
        <w:tc>
          <w:tcPr>
            <w:tcW w:w="536" w:type="pct"/>
            <w:vMerge/>
            <w:shd w:val="clear" w:color="auto" w:fill="auto"/>
          </w:tcPr>
          <w:p w14:paraId="339CF3C9" w14:textId="77777777" w:rsidR="001812B9" w:rsidRPr="00CD7168" w:rsidRDefault="001812B9" w:rsidP="007B1BDB">
            <w:pPr>
              <w:autoSpaceDE w:val="0"/>
              <w:autoSpaceDN w:val="0"/>
              <w:adjustRightInd w:val="0"/>
              <w:spacing w:after="0" w:line="360" w:lineRule="auto"/>
              <w:jc w:val="left"/>
              <w:rPr>
                <w:rFonts w:ascii="Arial" w:hAnsi="Arial" w:cs="Arial"/>
                <w:sz w:val="18"/>
                <w:szCs w:val="18"/>
              </w:rPr>
            </w:pPr>
          </w:p>
        </w:tc>
        <w:tc>
          <w:tcPr>
            <w:tcW w:w="781" w:type="pct"/>
            <w:shd w:val="clear" w:color="auto" w:fill="auto"/>
          </w:tcPr>
          <w:p w14:paraId="27413572"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r w:rsidRPr="00CD7168">
              <w:rPr>
                <w:rFonts w:ascii="Arial" w:hAnsi="Arial" w:cs="Arial"/>
                <w:sz w:val="18"/>
                <w:szCs w:val="18"/>
              </w:rPr>
              <w:t>Total</w:t>
            </w:r>
          </w:p>
        </w:tc>
        <w:tc>
          <w:tcPr>
            <w:tcW w:w="849" w:type="pct"/>
            <w:shd w:val="clear" w:color="auto" w:fill="auto"/>
          </w:tcPr>
          <w:p w14:paraId="0BAC1E93"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156</w:t>
            </w:r>
          </w:p>
        </w:tc>
        <w:tc>
          <w:tcPr>
            <w:tcW w:w="747" w:type="pct"/>
            <w:shd w:val="clear" w:color="auto" w:fill="auto"/>
          </w:tcPr>
          <w:p w14:paraId="651D9DCE"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100.0</w:t>
            </w:r>
          </w:p>
        </w:tc>
        <w:tc>
          <w:tcPr>
            <w:tcW w:w="1016" w:type="pct"/>
            <w:shd w:val="clear" w:color="auto" w:fill="auto"/>
          </w:tcPr>
          <w:p w14:paraId="3C3BCEB7"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100.0</w:t>
            </w:r>
          </w:p>
        </w:tc>
        <w:tc>
          <w:tcPr>
            <w:tcW w:w="1071" w:type="pct"/>
            <w:shd w:val="clear" w:color="auto" w:fill="auto"/>
            <w:vAlign w:val="center"/>
          </w:tcPr>
          <w:p w14:paraId="5D760504" w14:textId="77777777" w:rsidR="001812B9" w:rsidRPr="00CD7168" w:rsidRDefault="001812B9" w:rsidP="007B1BDB">
            <w:pPr>
              <w:autoSpaceDE w:val="0"/>
              <w:autoSpaceDN w:val="0"/>
              <w:adjustRightInd w:val="0"/>
              <w:spacing w:after="0" w:line="360" w:lineRule="auto"/>
              <w:jc w:val="left"/>
              <w:rPr>
                <w:rFonts w:cs="Times New Roman"/>
                <w:szCs w:val="24"/>
              </w:rPr>
            </w:pPr>
          </w:p>
        </w:tc>
      </w:tr>
    </w:tbl>
    <w:p w14:paraId="2FED2F9D" w14:textId="7D25A04D" w:rsidR="004270FA" w:rsidRDefault="004270FA" w:rsidP="007B1BDB">
      <w:pPr>
        <w:spacing w:before="240" w:line="360" w:lineRule="auto"/>
      </w:pPr>
      <w:r>
        <w:t xml:space="preserve">                          Fig-4.1: The age distribution of respondents</w:t>
      </w:r>
    </w:p>
    <w:p w14:paraId="7CD50D55" w14:textId="70BA2368" w:rsidR="00591AA9" w:rsidRDefault="001812B9" w:rsidP="007B1BDB">
      <w:pPr>
        <w:spacing w:before="240" w:line="360" w:lineRule="auto"/>
      </w:pPr>
      <w:r w:rsidRPr="001812B9">
        <w:t>The age distribution of respondents in this study reveals a diverse range of age groups. The largest group is those under 20 years old, comprising 40.4% of the total respondents. The next largest group is the 20-30 age range, making up 19.2%. Both the 31-40 and 41-50 age groups each account for 16.7% of the respondents. The smallest group is those above 50 years old, representing 7.1%. In total, there are 156 respondents, and each age group's percentage contributes to the cumulative total, which reaches 100%. This distribution indicates a broad representation across different age ranges in the study sample.</w:t>
      </w:r>
    </w:p>
    <w:tbl>
      <w:tblPr>
        <w:tblW w:w="5000" w:type="pct"/>
        <w:tblCellMar>
          <w:left w:w="0" w:type="dxa"/>
          <w:right w:w="0" w:type="dxa"/>
        </w:tblCellMar>
        <w:tblLook w:val="0000" w:firstRow="0" w:lastRow="0" w:firstColumn="0" w:lastColumn="0" w:noHBand="0" w:noVBand="0"/>
      </w:tblPr>
      <w:tblGrid>
        <w:gridCol w:w="908"/>
        <w:gridCol w:w="1155"/>
        <w:gridCol w:w="1439"/>
        <w:gridCol w:w="1266"/>
        <w:gridCol w:w="1721"/>
        <w:gridCol w:w="1817"/>
      </w:tblGrid>
      <w:tr w:rsidR="001812B9" w:rsidRPr="00CD7168" w14:paraId="751D9C15" w14:textId="77777777" w:rsidTr="00326751">
        <w:trPr>
          <w:cantSplit/>
        </w:trPr>
        <w:tc>
          <w:tcPr>
            <w:tcW w:w="5000" w:type="pct"/>
            <w:gridSpan w:val="6"/>
            <w:tcBorders>
              <w:top w:val="single" w:sz="4" w:space="0" w:color="auto"/>
              <w:bottom w:val="single" w:sz="4" w:space="0" w:color="auto"/>
            </w:tcBorders>
            <w:shd w:val="clear" w:color="auto" w:fill="auto"/>
            <w:vAlign w:val="center"/>
          </w:tcPr>
          <w:p w14:paraId="7216F0B7" w14:textId="77777777" w:rsidR="001812B9" w:rsidRPr="00CD7168" w:rsidRDefault="001812B9" w:rsidP="00A83E8B">
            <w:pPr>
              <w:jc w:val="center"/>
            </w:pPr>
            <w:r w:rsidRPr="00CD7168">
              <w:t>Gender:</w:t>
            </w:r>
          </w:p>
        </w:tc>
      </w:tr>
      <w:tr w:rsidR="001812B9" w:rsidRPr="00CD7168" w14:paraId="7C547E3E" w14:textId="77777777" w:rsidTr="00326751">
        <w:trPr>
          <w:cantSplit/>
        </w:trPr>
        <w:tc>
          <w:tcPr>
            <w:tcW w:w="1241" w:type="pct"/>
            <w:gridSpan w:val="2"/>
            <w:tcBorders>
              <w:top w:val="single" w:sz="4" w:space="0" w:color="auto"/>
              <w:bottom w:val="single" w:sz="4" w:space="0" w:color="auto"/>
            </w:tcBorders>
            <w:shd w:val="clear" w:color="auto" w:fill="auto"/>
            <w:vAlign w:val="bottom"/>
          </w:tcPr>
          <w:p w14:paraId="0BF9B85C" w14:textId="77777777" w:rsidR="001812B9" w:rsidRPr="00CD7168" w:rsidRDefault="001812B9" w:rsidP="007B1BDB">
            <w:pPr>
              <w:autoSpaceDE w:val="0"/>
              <w:autoSpaceDN w:val="0"/>
              <w:adjustRightInd w:val="0"/>
              <w:spacing w:after="0" w:line="360" w:lineRule="auto"/>
              <w:jc w:val="left"/>
              <w:rPr>
                <w:rFonts w:cs="Times New Roman"/>
                <w:szCs w:val="24"/>
              </w:rPr>
            </w:pPr>
          </w:p>
        </w:tc>
        <w:tc>
          <w:tcPr>
            <w:tcW w:w="866" w:type="pct"/>
            <w:tcBorders>
              <w:top w:val="single" w:sz="4" w:space="0" w:color="auto"/>
              <w:bottom w:val="single" w:sz="4" w:space="0" w:color="auto"/>
            </w:tcBorders>
            <w:shd w:val="clear" w:color="auto" w:fill="auto"/>
            <w:vAlign w:val="bottom"/>
          </w:tcPr>
          <w:p w14:paraId="0622561A" w14:textId="77777777" w:rsidR="001812B9" w:rsidRPr="00CD7168" w:rsidRDefault="001812B9" w:rsidP="007B1BDB">
            <w:pPr>
              <w:autoSpaceDE w:val="0"/>
              <w:autoSpaceDN w:val="0"/>
              <w:adjustRightInd w:val="0"/>
              <w:spacing w:after="0" w:line="360" w:lineRule="auto"/>
              <w:ind w:left="60" w:right="60"/>
              <w:jc w:val="center"/>
              <w:rPr>
                <w:rFonts w:ascii="Arial" w:hAnsi="Arial" w:cs="Arial"/>
                <w:sz w:val="18"/>
                <w:szCs w:val="18"/>
              </w:rPr>
            </w:pPr>
            <w:r w:rsidRPr="00CD7168">
              <w:rPr>
                <w:rFonts w:ascii="Arial" w:hAnsi="Arial" w:cs="Arial"/>
                <w:sz w:val="18"/>
                <w:szCs w:val="18"/>
              </w:rPr>
              <w:t>Frequency</w:t>
            </w:r>
          </w:p>
        </w:tc>
        <w:tc>
          <w:tcPr>
            <w:tcW w:w="762" w:type="pct"/>
            <w:tcBorders>
              <w:top w:val="single" w:sz="4" w:space="0" w:color="auto"/>
              <w:bottom w:val="single" w:sz="4" w:space="0" w:color="auto"/>
            </w:tcBorders>
            <w:shd w:val="clear" w:color="auto" w:fill="auto"/>
            <w:vAlign w:val="bottom"/>
          </w:tcPr>
          <w:p w14:paraId="6E4DCB28" w14:textId="77777777" w:rsidR="001812B9" w:rsidRPr="00CD7168" w:rsidRDefault="001812B9" w:rsidP="007B1BDB">
            <w:pPr>
              <w:autoSpaceDE w:val="0"/>
              <w:autoSpaceDN w:val="0"/>
              <w:adjustRightInd w:val="0"/>
              <w:spacing w:after="0" w:line="360" w:lineRule="auto"/>
              <w:ind w:left="60" w:right="60"/>
              <w:jc w:val="center"/>
              <w:rPr>
                <w:rFonts w:ascii="Arial" w:hAnsi="Arial" w:cs="Arial"/>
                <w:sz w:val="18"/>
                <w:szCs w:val="18"/>
              </w:rPr>
            </w:pPr>
            <w:r w:rsidRPr="00CD7168">
              <w:rPr>
                <w:rFonts w:ascii="Arial" w:hAnsi="Arial" w:cs="Arial"/>
                <w:sz w:val="18"/>
                <w:szCs w:val="18"/>
              </w:rPr>
              <w:t>Percent</w:t>
            </w:r>
          </w:p>
        </w:tc>
        <w:tc>
          <w:tcPr>
            <w:tcW w:w="1036" w:type="pct"/>
            <w:tcBorders>
              <w:top w:val="single" w:sz="4" w:space="0" w:color="auto"/>
              <w:bottom w:val="single" w:sz="4" w:space="0" w:color="auto"/>
            </w:tcBorders>
            <w:shd w:val="clear" w:color="auto" w:fill="auto"/>
            <w:vAlign w:val="bottom"/>
          </w:tcPr>
          <w:p w14:paraId="3977A1B6" w14:textId="77777777" w:rsidR="001812B9" w:rsidRPr="00CD7168" w:rsidRDefault="001812B9" w:rsidP="007B1BDB">
            <w:pPr>
              <w:autoSpaceDE w:val="0"/>
              <w:autoSpaceDN w:val="0"/>
              <w:adjustRightInd w:val="0"/>
              <w:spacing w:after="0" w:line="360" w:lineRule="auto"/>
              <w:ind w:left="60" w:right="60"/>
              <w:jc w:val="center"/>
              <w:rPr>
                <w:rFonts w:ascii="Arial" w:hAnsi="Arial" w:cs="Arial"/>
                <w:sz w:val="18"/>
                <w:szCs w:val="18"/>
              </w:rPr>
            </w:pPr>
            <w:r w:rsidRPr="00CD7168">
              <w:rPr>
                <w:rFonts w:ascii="Arial" w:hAnsi="Arial" w:cs="Arial"/>
                <w:sz w:val="18"/>
                <w:szCs w:val="18"/>
              </w:rPr>
              <w:t>Valid Percent</w:t>
            </w:r>
          </w:p>
        </w:tc>
        <w:tc>
          <w:tcPr>
            <w:tcW w:w="1094" w:type="pct"/>
            <w:tcBorders>
              <w:top w:val="single" w:sz="4" w:space="0" w:color="auto"/>
              <w:bottom w:val="single" w:sz="4" w:space="0" w:color="auto"/>
            </w:tcBorders>
            <w:shd w:val="clear" w:color="auto" w:fill="auto"/>
            <w:vAlign w:val="bottom"/>
          </w:tcPr>
          <w:p w14:paraId="3D839769" w14:textId="77777777" w:rsidR="001812B9" w:rsidRPr="00CD7168" w:rsidRDefault="001812B9" w:rsidP="007B1BDB">
            <w:pPr>
              <w:autoSpaceDE w:val="0"/>
              <w:autoSpaceDN w:val="0"/>
              <w:adjustRightInd w:val="0"/>
              <w:spacing w:after="0" w:line="360" w:lineRule="auto"/>
              <w:ind w:left="60" w:right="60"/>
              <w:jc w:val="center"/>
              <w:rPr>
                <w:rFonts w:ascii="Arial" w:hAnsi="Arial" w:cs="Arial"/>
                <w:sz w:val="18"/>
                <w:szCs w:val="18"/>
              </w:rPr>
            </w:pPr>
            <w:r w:rsidRPr="00CD7168">
              <w:rPr>
                <w:rFonts w:ascii="Arial" w:hAnsi="Arial" w:cs="Arial"/>
                <w:sz w:val="18"/>
                <w:szCs w:val="18"/>
              </w:rPr>
              <w:t>Cumulative Percent</w:t>
            </w:r>
          </w:p>
        </w:tc>
      </w:tr>
      <w:tr w:rsidR="001812B9" w:rsidRPr="00CD7168" w14:paraId="123E7244" w14:textId="77777777" w:rsidTr="00326751">
        <w:trPr>
          <w:cantSplit/>
        </w:trPr>
        <w:tc>
          <w:tcPr>
            <w:tcW w:w="547" w:type="pct"/>
            <w:vMerge w:val="restart"/>
            <w:tcBorders>
              <w:top w:val="single" w:sz="4" w:space="0" w:color="auto"/>
            </w:tcBorders>
            <w:shd w:val="clear" w:color="auto" w:fill="auto"/>
          </w:tcPr>
          <w:p w14:paraId="507C0E54" w14:textId="3BDD3F1C"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p>
        </w:tc>
        <w:tc>
          <w:tcPr>
            <w:tcW w:w="695" w:type="pct"/>
            <w:tcBorders>
              <w:top w:val="single" w:sz="4" w:space="0" w:color="auto"/>
            </w:tcBorders>
            <w:shd w:val="clear" w:color="auto" w:fill="auto"/>
          </w:tcPr>
          <w:p w14:paraId="423E8575"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r w:rsidRPr="00CD7168">
              <w:rPr>
                <w:rFonts w:ascii="Arial" w:hAnsi="Arial" w:cs="Arial"/>
                <w:sz w:val="18"/>
                <w:szCs w:val="18"/>
              </w:rPr>
              <w:t>Male</w:t>
            </w:r>
          </w:p>
        </w:tc>
        <w:tc>
          <w:tcPr>
            <w:tcW w:w="866" w:type="pct"/>
            <w:tcBorders>
              <w:top w:val="single" w:sz="4" w:space="0" w:color="auto"/>
            </w:tcBorders>
            <w:shd w:val="clear" w:color="auto" w:fill="auto"/>
          </w:tcPr>
          <w:p w14:paraId="7392A448"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80</w:t>
            </w:r>
          </w:p>
        </w:tc>
        <w:tc>
          <w:tcPr>
            <w:tcW w:w="762" w:type="pct"/>
            <w:tcBorders>
              <w:top w:val="single" w:sz="4" w:space="0" w:color="auto"/>
            </w:tcBorders>
            <w:shd w:val="clear" w:color="auto" w:fill="auto"/>
          </w:tcPr>
          <w:p w14:paraId="5BB542A2"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51.3</w:t>
            </w:r>
          </w:p>
        </w:tc>
        <w:tc>
          <w:tcPr>
            <w:tcW w:w="1036" w:type="pct"/>
            <w:tcBorders>
              <w:top w:val="single" w:sz="4" w:space="0" w:color="auto"/>
            </w:tcBorders>
            <w:shd w:val="clear" w:color="auto" w:fill="auto"/>
          </w:tcPr>
          <w:p w14:paraId="53CA3105"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51.3</w:t>
            </w:r>
          </w:p>
        </w:tc>
        <w:tc>
          <w:tcPr>
            <w:tcW w:w="1094" w:type="pct"/>
            <w:tcBorders>
              <w:top w:val="single" w:sz="4" w:space="0" w:color="auto"/>
            </w:tcBorders>
            <w:shd w:val="clear" w:color="auto" w:fill="auto"/>
          </w:tcPr>
          <w:p w14:paraId="0EC76370"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51.3</w:t>
            </w:r>
          </w:p>
        </w:tc>
      </w:tr>
      <w:tr w:rsidR="001812B9" w:rsidRPr="00CD7168" w14:paraId="617969CC" w14:textId="77777777" w:rsidTr="00326751">
        <w:trPr>
          <w:cantSplit/>
        </w:trPr>
        <w:tc>
          <w:tcPr>
            <w:tcW w:w="547" w:type="pct"/>
            <w:vMerge/>
            <w:shd w:val="clear" w:color="auto" w:fill="auto"/>
          </w:tcPr>
          <w:p w14:paraId="00B2657C" w14:textId="77777777" w:rsidR="001812B9" w:rsidRPr="00CD7168" w:rsidRDefault="001812B9" w:rsidP="007B1BDB">
            <w:pPr>
              <w:autoSpaceDE w:val="0"/>
              <w:autoSpaceDN w:val="0"/>
              <w:adjustRightInd w:val="0"/>
              <w:spacing w:after="0" w:line="360" w:lineRule="auto"/>
              <w:jc w:val="left"/>
              <w:rPr>
                <w:rFonts w:ascii="Arial" w:hAnsi="Arial" w:cs="Arial"/>
                <w:sz w:val="18"/>
                <w:szCs w:val="18"/>
              </w:rPr>
            </w:pPr>
          </w:p>
        </w:tc>
        <w:tc>
          <w:tcPr>
            <w:tcW w:w="695" w:type="pct"/>
            <w:shd w:val="clear" w:color="auto" w:fill="auto"/>
          </w:tcPr>
          <w:p w14:paraId="56EC0429"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r w:rsidRPr="00CD7168">
              <w:rPr>
                <w:rFonts w:ascii="Arial" w:hAnsi="Arial" w:cs="Arial"/>
                <w:sz w:val="18"/>
                <w:szCs w:val="18"/>
              </w:rPr>
              <w:t>Female</w:t>
            </w:r>
          </w:p>
        </w:tc>
        <w:tc>
          <w:tcPr>
            <w:tcW w:w="866" w:type="pct"/>
            <w:shd w:val="clear" w:color="auto" w:fill="auto"/>
          </w:tcPr>
          <w:p w14:paraId="376888FD"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76</w:t>
            </w:r>
          </w:p>
        </w:tc>
        <w:tc>
          <w:tcPr>
            <w:tcW w:w="762" w:type="pct"/>
            <w:shd w:val="clear" w:color="auto" w:fill="auto"/>
          </w:tcPr>
          <w:p w14:paraId="405C2D06"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48.7</w:t>
            </w:r>
          </w:p>
        </w:tc>
        <w:tc>
          <w:tcPr>
            <w:tcW w:w="1036" w:type="pct"/>
            <w:shd w:val="clear" w:color="auto" w:fill="auto"/>
          </w:tcPr>
          <w:p w14:paraId="2B38143A"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48.7</w:t>
            </w:r>
          </w:p>
        </w:tc>
        <w:tc>
          <w:tcPr>
            <w:tcW w:w="1094" w:type="pct"/>
            <w:shd w:val="clear" w:color="auto" w:fill="auto"/>
          </w:tcPr>
          <w:p w14:paraId="216CAEC4"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100.0</w:t>
            </w:r>
          </w:p>
        </w:tc>
      </w:tr>
      <w:tr w:rsidR="001812B9" w:rsidRPr="00CD7168" w14:paraId="1AFA0619" w14:textId="77777777" w:rsidTr="00326751">
        <w:trPr>
          <w:cantSplit/>
        </w:trPr>
        <w:tc>
          <w:tcPr>
            <w:tcW w:w="547" w:type="pct"/>
            <w:vMerge/>
            <w:shd w:val="clear" w:color="auto" w:fill="auto"/>
          </w:tcPr>
          <w:p w14:paraId="09DC93B9" w14:textId="77777777" w:rsidR="001812B9" w:rsidRPr="00CD7168" w:rsidRDefault="001812B9" w:rsidP="007B1BDB">
            <w:pPr>
              <w:autoSpaceDE w:val="0"/>
              <w:autoSpaceDN w:val="0"/>
              <w:adjustRightInd w:val="0"/>
              <w:spacing w:after="0" w:line="360" w:lineRule="auto"/>
              <w:jc w:val="left"/>
              <w:rPr>
                <w:rFonts w:ascii="Arial" w:hAnsi="Arial" w:cs="Arial"/>
                <w:sz w:val="18"/>
                <w:szCs w:val="18"/>
              </w:rPr>
            </w:pPr>
          </w:p>
        </w:tc>
        <w:tc>
          <w:tcPr>
            <w:tcW w:w="695" w:type="pct"/>
            <w:tcBorders>
              <w:bottom w:val="single" w:sz="4" w:space="0" w:color="auto"/>
            </w:tcBorders>
            <w:shd w:val="clear" w:color="auto" w:fill="auto"/>
          </w:tcPr>
          <w:p w14:paraId="6E1BE729" w14:textId="77777777" w:rsidR="001812B9" w:rsidRPr="00CD7168" w:rsidRDefault="001812B9" w:rsidP="007B1BDB">
            <w:pPr>
              <w:autoSpaceDE w:val="0"/>
              <w:autoSpaceDN w:val="0"/>
              <w:adjustRightInd w:val="0"/>
              <w:spacing w:after="0" w:line="360" w:lineRule="auto"/>
              <w:ind w:left="60" w:right="60"/>
              <w:jc w:val="left"/>
              <w:rPr>
                <w:rFonts w:ascii="Arial" w:hAnsi="Arial" w:cs="Arial"/>
                <w:sz w:val="18"/>
                <w:szCs w:val="18"/>
              </w:rPr>
            </w:pPr>
            <w:r w:rsidRPr="00CD7168">
              <w:rPr>
                <w:rFonts w:ascii="Arial" w:hAnsi="Arial" w:cs="Arial"/>
                <w:sz w:val="18"/>
                <w:szCs w:val="18"/>
              </w:rPr>
              <w:t>Total</w:t>
            </w:r>
          </w:p>
        </w:tc>
        <w:tc>
          <w:tcPr>
            <w:tcW w:w="866" w:type="pct"/>
            <w:tcBorders>
              <w:bottom w:val="single" w:sz="4" w:space="0" w:color="auto"/>
            </w:tcBorders>
            <w:shd w:val="clear" w:color="auto" w:fill="auto"/>
          </w:tcPr>
          <w:p w14:paraId="3F80109F"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156</w:t>
            </w:r>
          </w:p>
        </w:tc>
        <w:tc>
          <w:tcPr>
            <w:tcW w:w="762" w:type="pct"/>
            <w:tcBorders>
              <w:bottom w:val="single" w:sz="4" w:space="0" w:color="auto"/>
            </w:tcBorders>
            <w:shd w:val="clear" w:color="auto" w:fill="auto"/>
          </w:tcPr>
          <w:p w14:paraId="2F0A8000"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100.0</w:t>
            </w:r>
          </w:p>
        </w:tc>
        <w:tc>
          <w:tcPr>
            <w:tcW w:w="1036" w:type="pct"/>
            <w:tcBorders>
              <w:bottom w:val="single" w:sz="4" w:space="0" w:color="auto"/>
            </w:tcBorders>
            <w:shd w:val="clear" w:color="auto" w:fill="auto"/>
          </w:tcPr>
          <w:p w14:paraId="40DD4A7B" w14:textId="77777777" w:rsidR="001812B9" w:rsidRPr="00CD7168" w:rsidRDefault="001812B9" w:rsidP="007B1BDB">
            <w:pPr>
              <w:autoSpaceDE w:val="0"/>
              <w:autoSpaceDN w:val="0"/>
              <w:adjustRightInd w:val="0"/>
              <w:spacing w:after="0" w:line="360" w:lineRule="auto"/>
              <w:ind w:left="60" w:right="60"/>
              <w:jc w:val="right"/>
              <w:rPr>
                <w:rFonts w:ascii="Arial" w:hAnsi="Arial" w:cs="Arial"/>
                <w:sz w:val="18"/>
                <w:szCs w:val="18"/>
              </w:rPr>
            </w:pPr>
            <w:r w:rsidRPr="00CD7168">
              <w:rPr>
                <w:rFonts w:ascii="Arial" w:hAnsi="Arial" w:cs="Arial"/>
                <w:sz w:val="18"/>
                <w:szCs w:val="18"/>
              </w:rPr>
              <w:t>100.0</w:t>
            </w:r>
          </w:p>
        </w:tc>
        <w:tc>
          <w:tcPr>
            <w:tcW w:w="1094" w:type="pct"/>
            <w:tcBorders>
              <w:bottom w:val="single" w:sz="4" w:space="0" w:color="auto"/>
            </w:tcBorders>
            <w:shd w:val="clear" w:color="auto" w:fill="auto"/>
            <w:vAlign w:val="center"/>
          </w:tcPr>
          <w:p w14:paraId="047F194B" w14:textId="77777777" w:rsidR="001812B9" w:rsidRPr="00CD7168" w:rsidRDefault="001812B9" w:rsidP="007B1BDB">
            <w:pPr>
              <w:autoSpaceDE w:val="0"/>
              <w:autoSpaceDN w:val="0"/>
              <w:adjustRightInd w:val="0"/>
              <w:spacing w:after="0" w:line="360" w:lineRule="auto"/>
              <w:jc w:val="left"/>
              <w:rPr>
                <w:rFonts w:cs="Times New Roman"/>
                <w:szCs w:val="24"/>
              </w:rPr>
            </w:pPr>
          </w:p>
        </w:tc>
      </w:tr>
    </w:tbl>
    <w:p w14:paraId="2B5B7815" w14:textId="557D0704" w:rsidR="004270FA" w:rsidRDefault="004270FA"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Fig-4.2: G</w:t>
      </w:r>
      <w:r w:rsidRPr="001812B9">
        <w:rPr>
          <w:rFonts w:eastAsia="Times New Roman" w:cs="Times New Roman"/>
          <w:color w:val="auto"/>
          <w:szCs w:val="24"/>
        </w:rPr>
        <w:t>ender distribution of respondents</w:t>
      </w:r>
    </w:p>
    <w:p w14:paraId="2D73162E" w14:textId="651680E3" w:rsidR="001812B9" w:rsidRPr="001812B9" w:rsidRDefault="001812B9" w:rsidP="007B1BDB">
      <w:pPr>
        <w:spacing w:before="100" w:beforeAutospacing="1" w:after="100" w:afterAutospacing="1" w:line="360" w:lineRule="auto"/>
        <w:rPr>
          <w:rFonts w:eastAsia="Times New Roman" w:cs="Times New Roman"/>
          <w:color w:val="auto"/>
          <w:szCs w:val="24"/>
        </w:rPr>
      </w:pPr>
      <w:r w:rsidRPr="001812B9">
        <w:rPr>
          <w:rFonts w:eastAsia="Times New Roman" w:cs="Times New Roman"/>
          <w:color w:val="auto"/>
          <w:szCs w:val="24"/>
        </w:rPr>
        <w:t>The gender distribution of respondents is fairly balanced. Out of 156 respondents, 80 are male, making up 51.3% of the total. The remaining 76 respondents are female, which is 48.7%. This brings the total to 100%, showing an almost equal representation of males and females in the study.</w:t>
      </w:r>
    </w:p>
    <w:tbl>
      <w:tblPr>
        <w:tblW w:w="7847" w:type="dxa"/>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1812B9" w:rsidRPr="00FB76B7" w14:paraId="52E19394" w14:textId="77777777" w:rsidTr="001812B9">
        <w:trPr>
          <w:cantSplit/>
        </w:trPr>
        <w:tc>
          <w:tcPr>
            <w:tcW w:w="7847" w:type="dxa"/>
            <w:gridSpan w:val="6"/>
            <w:tcBorders>
              <w:bottom w:val="single" w:sz="4" w:space="0" w:color="auto"/>
            </w:tcBorders>
            <w:shd w:val="clear" w:color="auto" w:fill="auto"/>
            <w:vAlign w:val="center"/>
          </w:tcPr>
          <w:p w14:paraId="639E81AC" w14:textId="77777777" w:rsidR="001812B9" w:rsidRPr="00FB76B7" w:rsidRDefault="001812B9" w:rsidP="00A83E8B">
            <w:pPr>
              <w:jc w:val="center"/>
            </w:pPr>
            <w:r w:rsidRPr="00FB76B7">
              <w:lastRenderedPageBreak/>
              <w:t>Education Level:</w:t>
            </w:r>
          </w:p>
        </w:tc>
      </w:tr>
      <w:tr w:rsidR="001812B9" w:rsidRPr="00FB76B7" w14:paraId="73240D1D" w14:textId="77777777" w:rsidTr="001812B9">
        <w:trPr>
          <w:cantSplit/>
        </w:trPr>
        <w:tc>
          <w:tcPr>
            <w:tcW w:w="2800" w:type="dxa"/>
            <w:gridSpan w:val="2"/>
            <w:tcBorders>
              <w:top w:val="single" w:sz="4" w:space="0" w:color="auto"/>
              <w:bottom w:val="single" w:sz="4" w:space="0" w:color="auto"/>
            </w:tcBorders>
            <w:shd w:val="clear" w:color="auto" w:fill="auto"/>
            <w:vAlign w:val="bottom"/>
          </w:tcPr>
          <w:p w14:paraId="32E7646A" w14:textId="77777777" w:rsidR="001812B9" w:rsidRPr="00FB76B7" w:rsidRDefault="001812B9"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72041391" w14:textId="77777777" w:rsidR="001812B9" w:rsidRPr="00FB76B7" w:rsidRDefault="001812B9"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216F9272" w14:textId="77777777" w:rsidR="001812B9" w:rsidRPr="00FB76B7" w:rsidRDefault="001812B9"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5051E120" w14:textId="77777777" w:rsidR="001812B9" w:rsidRPr="00FB76B7" w:rsidRDefault="001812B9"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70366DED" w14:textId="77777777" w:rsidR="001812B9" w:rsidRPr="00FB76B7" w:rsidRDefault="001812B9"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1812B9" w:rsidRPr="00FB76B7" w14:paraId="5AB27364" w14:textId="77777777" w:rsidTr="001812B9">
        <w:trPr>
          <w:cantSplit/>
        </w:trPr>
        <w:tc>
          <w:tcPr>
            <w:tcW w:w="734" w:type="dxa"/>
            <w:vMerge w:val="restart"/>
            <w:tcBorders>
              <w:top w:val="single" w:sz="4" w:space="0" w:color="auto"/>
            </w:tcBorders>
            <w:shd w:val="clear" w:color="auto" w:fill="auto"/>
          </w:tcPr>
          <w:p w14:paraId="491800A7" w14:textId="77777777" w:rsidR="001812B9" w:rsidRPr="00FB76B7" w:rsidRDefault="001812B9" w:rsidP="007B1BDB">
            <w:pPr>
              <w:autoSpaceDE w:val="0"/>
              <w:autoSpaceDN w:val="0"/>
              <w:adjustRightInd w:val="0"/>
              <w:spacing w:after="0" w:line="360" w:lineRule="auto"/>
              <w:ind w:left="60" w:right="60"/>
              <w:jc w:val="left"/>
              <w:rPr>
                <w:rFonts w:ascii="Arial" w:hAnsi="Arial" w:cs="Arial"/>
                <w:sz w:val="18"/>
                <w:szCs w:val="18"/>
              </w:rPr>
            </w:pPr>
          </w:p>
        </w:tc>
        <w:tc>
          <w:tcPr>
            <w:tcW w:w="2066" w:type="dxa"/>
            <w:tcBorders>
              <w:top w:val="single" w:sz="4" w:space="0" w:color="auto"/>
            </w:tcBorders>
            <w:shd w:val="clear" w:color="auto" w:fill="auto"/>
          </w:tcPr>
          <w:p w14:paraId="38DDEEE5" w14:textId="77777777" w:rsidR="001812B9" w:rsidRPr="00FB76B7" w:rsidRDefault="001812B9"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No Formal Education</w:t>
            </w:r>
          </w:p>
        </w:tc>
        <w:tc>
          <w:tcPr>
            <w:tcW w:w="1162" w:type="dxa"/>
            <w:tcBorders>
              <w:top w:val="single" w:sz="4" w:space="0" w:color="auto"/>
            </w:tcBorders>
            <w:shd w:val="clear" w:color="auto" w:fill="auto"/>
          </w:tcPr>
          <w:p w14:paraId="35229412"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18</w:t>
            </w:r>
          </w:p>
        </w:tc>
        <w:tc>
          <w:tcPr>
            <w:tcW w:w="1024" w:type="dxa"/>
            <w:tcBorders>
              <w:top w:val="single" w:sz="4" w:space="0" w:color="auto"/>
            </w:tcBorders>
            <w:shd w:val="clear" w:color="auto" w:fill="auto"/>
          </w:tcPr>
          <w:p w14:paraId="0A9737F4"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11.5</w:t>
            </w:r>
          </w:p>
        </w:tc>
        <w:tc>
          <w:tcPr>
            <w:tcW w:w="1392" w:type="dxa"/>
            <w:tcBorders>
              <w:top w:val="single" w:sz="4" w:space="0" w:color="auto"/>
            </w:tcBorders>
            <w:shd w:val="clear" w:color="auto" w:fill="auto"/>
          </w:tcPr>
          <w:p w14:paraId="664A5511"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11.5</w:t>
            </w:r>
          </w:p>
        </w:tc>
        <w:tc>
          <w:tcPr>
            <w:tcW w:w="1469" w:type="dxa"/>
            <w:tcBorders>
              <w:top w:val="single" w:sz="4" w:space="0" w:color="auto"/>
            </w:tcBorders>
            <w:shd w:val="clear" w:color="auto" w:fill="auto"/>
          </w:tcPr>
          <w:p w14:paraId="4CAE6DAD"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11.5</w:t>
            </w:r>
          </w:p>
        </w:tc>
      </w:tr>
      <w:tr w:rsidR="001812B9" w:rsidRPr="00FB76B7" w14:paraId="57C0D18D" w14:textId="77777777" w:rsidTr="001812B9">
        <w:trPr>
          <w:cantSplit/>
        </w:trPr>
        <w:tc>
          <w:tcPr>
            <w:tcW w:w="734" w:type="dxa"/>
            <w:vMerge/>
            <w:shd w:val="clear" w:color="auto" w:fill="auto"/>
          </w:tcPr>
          <w:p w14:paraId="0B01B29A" w14:textId="77777777" w:rsidR="001812B9" w:rsidRPr="00FB76B7" w:rsidRDefault="001812B9" w:rsidP="007B1BDB">
            <w:pPr>
              <w:autoSpaceDE w:val="0"/>
              <w:autoSpaceDN w:val="0"/>
              <w:adjustRightInd w:val="0"/>
              <w:spacing w:after="0" w:line="360" w:lineRule="auto"/>
              <w:jc w:val="left"/>
              <w:rPr>
                <w:rFonts w:ascii="Arial" w:hAnsi="Arial" w:cs="Arial"/>
                <w:sz w:val="18"/>
                <w:szCs w:val="18"/>
              </w:rPr>
            </w:pPr>
          </w:p>
        </w:tc>
        <w:tc>
          <w:tcPr>
            <w:tcW w:w="2066" w:type="dxa"/>
            <w:shd w:val="clear" w:color="auto" w:fill="auto"/>
          </w:tcPr>
          <w:p w14:paraId="5B2D674E" w14:textId="77777777" w:rsidR="001812B9" w:rsidRPr="00FB76B7" w:rsidRDefault="001812B9"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Primary Education</w:t>
            </w:r>
          </w:p>
        </w:tc>
        <w:tc>
          <w:tcPr>
            <w:tcW w:w="1162" w:type="dxa"/>
            <w:shd w:val="clear" w:color="auto" w:fill="auto"/>
          </w:tcPr>
          <w:p w14:paraId="77E0FF5D"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21</w:t>
            </w:r>
          </w:p>
        </w:tc>
        <w:tc>
          <w:tcPr>
            <w:tcW w:w="1024" w:type="dxa"/>
            <w:shd w:val="clear" w:color="auto" w:fill="auto"/>
          </w:tcPr>
          <w:p w14:paraId="0DB17F6F"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13.5</w:t>
            </w:r>
          </w:p>
        </w:tc>
        <w:tc>
          <w:tcPr>
            <w:tcW w:w="1392" w:type="dxa"/>
            <w:shd w:val="clear" w:color="auto" w:fill="auto"/>
          </w:tcPr>
          <w:p w14:paraId="6D72877C"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13.5</w:t>
            </w:r>
          </w:p>
        </w:tc>
        <w:tc>
          <w:tcPr>
            <w:tcW w:w="1469" w:type="dxa"/>
            <w:shd w:val="clear" w:color="auto" w:fill="auto"/>
          </w:tcPr>
          <w:p w14:paraId="5DC488CC"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25.0</w:t>
            </w:r>
          </w:p>
        </w:tc>
      </w:tr>
      <w:tr w:rsidR="001812B9" w:rsidRPr="00FB76B7" w14:paraId="10B3EFE1" w14:textId="77777777" w:rsidTr="001812B9">
        <w:trPr>
          <w:cantSplit/>
        </w:trPr>
        <w:tc>
          <w:tcPr>
            <w:tcW w:w="734" w:type="dxa"/>
            <w:vMerge/>
            <w:shd w:val="clear" w:color="auto" w:fill="auto"/>
          </w:tcPr>
          <w:p w14:paraId="1B33E717" w14:textId="77777777" w:rsidR="001812B9" w:rsidRPr="00FB76B7" w:rsidRDefault="001812B9" w:rsidP="007B1BDB">
            <w:pPr>
              <w:autoSpaceDE w:val="0"/>
              <w:autoSpaceDN w:val="0"/>
              <w:adjustRightInd w:val="0"/>
              <w:spacing w:after="0" w:line="360" w:lineRule="auto"/>
              <w:jc w:val="left"/>
              <w:rPr>
                <w:rFonts w:ascii="Arial" w:hAnsi="Arial" w:cs="Arial"/>
                <w:sz w:val="18"/>
                <w:szCs w:val="18"/>
              </w:rPr>
            </w:pPr>
          </w:p>
        </w:tc>
        <w:tc>
          <w:tcPr>
            <w:tcW w:w="2066" w:type="dxa"/>
            <w:shd w:val="clear" w:color="auto" w:fill="auto"/>
          </w:tcPr>
          <w:p w14:paraId="3135212B" w14:textId="77777777" w:rsidR="001812B9" w:rsidRPr="00FB76B7" w:rsidRDefault="001812B9"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Secondary Education</w:t>
            </w:r>
          </w:p>
        </w:tc>
        <w:tc>
          <w:tcPr>
            <w:tcW w:w="1162" w:type="dxa"/>
            <w:shd w:val="clear" w:color="auto" w:fill="auto"/>
          </w:tcPr>
          <w:p w14:paraId="5E4630DB"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72</w:t>
            </w:r>
          </w:p>
        </w:tc>
        <w:tc>
          <w:tcPr>
            <w:tcW w:w="1024" w:type="dxa"/>
            <w:shd w:val="clear" w:color="auto" w:fill="auto"/>
          </w:tcPr>
          <w:p w14:paraId="45CD3147"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46.2</w:t>
            </w:r>
          </w:p>
        </w:tc>
        <w:tc>
          <w:tcPr>
            <w:tcW w:w="1392" w:type="dxa"/>
            <w:shd w:val="clear" w:color="auto" w:fill="auto"/>
          </w:tcPr>
          <w:p w14:paraId="6BE843F6"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46.2</w:t>
            </w:r>
          </w:p>
        </w:tc>
        <w:tc>
          <w:tcPr>
            <w:tcW w:w="1469" w:type="dxa"/>
            <w:shd w:val="clear" w:color="auto" w:fill="auto"/>
          </w:tcPr>
          <w:p w14:paraId="48842609"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71.2</w:t>
            </w:r>
          </w:p>
        </w:tc>
      </w:tr>
      <w:tr w:rsidR="001812B9" w:rsidRPr="00FB76B7" w14:paraId="5EF68C63" w14:textId="77777777" w:rsidTr="001812B9">
        <w:trPr>
          <w:cantSplit/>
        </w:trPr>
        <w:tc>
          <w:tcPr>
            <w:tcW w:w="734" w:type="dxa"/>
            <w:vMerge/>
            <w:shd w:val="clear" w:color="auto" w:fill="auto"/>
          </w:tcPr>
          <w:p w14:paraId="62063E96" w14:textId="77777777" w:rsidR="001812B9" w:rsidRPr="00FB76B7" w:rsidRDefault="001812B9" w:rsidP="007B1BDB">
            <w:pPr>
              <w:autoSpaceDE w:val="0"/>
              <w:autoSpaceDN w:val="0"/>
              <w:adjustRightInd w:val="0"/>
              <w:spacing w:after="0" w:line="360" w:lineRule="auto"/>
              <w:jc w:val="left"/>
              <w:rPr>
                <w:rFonts w:ascii="Arial" w:hAnsi="Arial" w:cs="Arial"/>
                <w:sz w:val="18"/>
                <w:szCs w:val="18"/>
              </w:rPr>
            </w:pPr>
          </w:p>
        </w:tc>
        <w:tc>
          <w:tcPr>
            <w:tcW w:w="2066" w:type="dxa"/>
            <w:shd w:val="clear" w:color="auto" w:fill="auto"/>
          </w:tcPr>
          <w:p w14:paraId="249BF502" w14:textId="77777777" w:rsidR="001812B9" w:rsidRPr="00FB76B7" w:rsidRDefault="001812B9"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Bachelor’s Degree</w:t>
            </w:r>
          </w:p>
        </w:tc>
        <w:tc>
          <w:tcPr>
            <w:tcW w:w="1162" w:type="dxa"/>
            <w:shd w:val="clear" w:color="auto" w:fill="auto"/>
          </w:tcPr>
          <w:p w14:paraId="0E131284"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33</w:t>
            </w:r>
          </w:p>
        </w:tc>
        <w:tc>
          <w:tcPr>
            <w:tcW w:w="1024" w:type="dxa"/>
            <w:shd w:val="clear" w:color="auto" w:fill="auto"/>
          </w:tcPr>
          <w:p w14:paraId="0CB9FBB1"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21.2</w:t>
            </w:r>
          </w:p>
        </w:tc>
        <w:tc>
          <w:tcPr>
            <w:tcW w:w="1392" w:type="dxa"/>
            <w:shd w:val="clear" w:color="auto" w:fill="auto"/>
          </w:tcPr>
          <w:p w14:paraId="55F96F72"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21.2</w:t>
            </w:r>
          </w:p>
        </w:tc>
        <w:tc>
          <w:tcPr>
            <w:tcW w:w="1469" w:type="dxa"/>
            <w:shd w:val="clear" w:color="auto" w:fill="auto"/>
          </w:tcPr>
          <w:p w14:paraId="5D354074"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92.3</w:t>
            </w:r>
          </w:p>
        </w:tc>
      </w:tr>
      <w:tr w:rsidR="001812B9" w:rsidRPr="00FB76B7" w14:paraId="1B53BC28" w14:textId="77777777" w:rsidTr="001812B9">
        <w:trPr>
          <w:cantSplit/>
        </w:trPr>
        <w:tc>
          <w:tcPr>
            <w:tcW w:w="734" w:type="dxa"/>
            <w:vMerge/>
            <w:shd w:val="clear" w:color="auto" w:fill="auto"/>
          </w:tcPr>
          <w:p w14:paraId="3374A189" w14:textId="77777777" w:rsidR="001812B9" w:rsidRPr="00FB76B7" w:rsidRDefault="001812B9" w:rsidP="007B1BDB">
            <w:pPr>
              <w:autoSpaceDE w:val="0"/>
              <w:autoSpaceDN w:val="0"/>
              <w:adjustRightInd w:val="0"/>
              <w:spacing w:after="0" w:line="360" w:lineRule="auto"/>
              <w:jc w:val="left"/>
              <w:rPr>
                <w:rFonts w:ascii="Arial" w:hAnsi="Arial" w:cs="Arial"/>
                <w:sz w:val="18"/>
                <w:szCs w:val="18"/>
              </w:rPr>
            </w:pPr>
          </w:p>
        </w:tc>
        <w:tc>
          <w:tcPr>
            <w:tcW w:w="2066" w:type="dxa"/>
            <w:shd w:val="clear" w:color="auto" w:fill="auto"/>
          </w:tcPr>
          <w:p w14:paraId="1C65CA01" w14:textId="77777777" w:rsidR="001812B9" w:rsidRPr="00FB76B7" w:rsidRDefault="001812B9"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Master's and Above</w:t>
            </w:r>
          </w:p>
        </w:tc>
        <w:tc>
          <w:tcPr>
            <w:tcW w:w="1162" w:type="dxa"/>
            <w:shd w:val="clear" w:color="auto" w:fill="auto"/>
          </w:tcPr>
          <w:p w14:paraId="08035BE9"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12</w:t>
            </w:r>
          </w:p>
        </w:tc>
        <w:tc>
          <w:tcPr>
            <w:tcW w:w="1024" w:type="dxa"/>
            <w:shd w:val="clear" w:color="auto" w:fill="auto"/>
          </w:tcPr>
          <w:p w14:paraId="03E9C16E"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7.7</w:t>
            </w:r>
          </w:p>
        </w:tc>
        <w:tc>
          <w:tcPr>
            <w:tcW w:w="1392" w:type="dxa"/>
            <w:shd w:val="clear" w:color="auto" w:fill="auto"/>
          </w:tcPr>
          <w:p w14:paraId="39AE4CE3"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7.7</w:t>
            </w:r>
          </w:p>
        </w:tc>
        <w:tc>
          <w:tcPr>
            <w:tcW w:w="1469" w:type="dxa"/>
            <w:shd w:val="clear" w:color="auto" w:fill="auto"/>
          </w:tcPr>
          <w:p w14:paraId="6EC87595"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1812B9" w:rsidRPr="00FB76B7" w14:paraId="41E9611C" w14:textId="77777777" w:rsidTr="001812B9">
        <w:trPr>
          <w:cantSplit/>
        </w:trPr>
        <w:tc>
          <w:tcPr>
            <w:tcW w:w="734" w:type="dxa"/>
            <w:vMerge/>
            <w:shd w:val="clear" w:color="auto" w:fill="auto"/>
          </w:tcPr>
          <w:p w14:paraId="76661B13" w14:textId="77777777" w:rsidR="001812B9" w:rsidRPr="00FB76B7" w:rsidRDefault="001812B9" w:rsidP="007B1BDB">
            <w:pPr>
              <w:autoSpaceDE w:val="0"/>
              <w:autoSpaceDN w:val="0"/>
              <w:adjustRightInd w:val="0"/>
              <w:spacing w:after="0" w:line="360" w:lineRule="auto"/>
              <w:jc w:val="left"/>
              <w:rPr>
                <w:rFonts w:ascii="Arial" w:hAnsi="Arial" w:cs="Arial"/>
                <w:sz w:val="18"/>
                <w:szCs w:val="18"/>
              </w:rPr>
            </w:pPr>
          </w:p>
        </w:tc>
        <w:tc>
          <w:tcPr>
            <w:tcW w:w="2066" w:type="dxa"/>
            <w:tcBorders>
              <w:bottom w:val="single" w:sz="4" w:space="0" w:color="auto"/>
            </w:tcBorders>
            <w:shd w:val="clear" w:color="auto" w:fill="auto"/>
          </w:tcPr>
          <w:p w14:paraId="4629B238" w14:textId="77777777" w:rsidR="001812B9" w:rsidRPr="00FB76B7" w:rsidRDefault="001812B9"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tcBorders>
              <w:bottom w:val="single" w:sz="4" w:space="0" w:color="auto"/>
            </w:tcBorders>
            <w:shd w:val="clear" w:color="auto" w:fill="auto"/>
          </w:tcPr>
          <w:p w14:paraId="48A6F42C"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tcBorders>
              <w:bottom w:val="single" w:sz="4" w:space="0" w:color="auto"/>
            </w:tcBorders>
            <w:shd w:val="clear" w:color="auto" w:fill="auto"/>
          </w:tcPr>
          <w:p w14:paraId="47F2100E"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2" w:type="dxa"/>
            <w:tcBorders>
              <w:bottom w:val="single" w:sz="4" w:space="0" w:color="auto"/>
            </w:tcBorders>
            <w:shd w:val="clear" w:color="auto" w:fill="auto"/>
          </w:tcPr>
          <w:p w14:paraId="2C5EBB49" w14:textId="77777777" w:rsidR="001812B9" w:rsidRPr="00FB76B7" w:rsidRDefault="001812B9"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tcBorders>
              <w:bottom w:val="single" w:sz="4" w:space="0" w:color="auto"/>
            </w:tcBorders>
            <w:shd w:val="clear" w:color="auto" w:fill="auto"/>
            <w:vAlign w:val="center"/>
          </w:tcPr>
          <w:p w14:paraId="49439CF6" w14:textId="77777777" w:rsidR="001812B9" w:rsidRPr="00FB76B7" w:rsidRDefault="001812B9" w:rsidP="007B1BDB">
            <w:pPr>
              <w:autoSpaceDE w:val="0"/>
              <w:autoSpaceDN w:val="0"/>
              <w:adjustRightInd w:val="0"/>
              <w:spacing w:after="0" w:line="360" w:lineRule="auto"/>
              <w:jc w:val="left"/>
              <w:rPr>
                <w:rFonts w:cs="Times New Roman"/>
                <w:szCs w:val="24"/>
              </w:rPr>
            </w:pPr>
          </w:p>
        </w:tc>
      </w:tr>
    </w:tbl>
    <w:p w14:paraId="3FEA1651" w14:textId="2D131D45" w:rsidR="00B11077" w:rsidRDefault="00B11077" w:rsidP="007B1BDB">
      <w:pPr>
        <w:spacing w:before="240" w:line="360" w:lineRule="auto"/>
      </w:pPr>
      <w:r>
        <w:t xml:space="preserve">       Fig-4.3: Education level of the respondents</w:t>
      </w:r>
    </w:p>
    <w:p w14:paraId="70B5309D" w14:textId="5F399A87" w:rsidR="001812B9" w:rsidRDefault="001812B9" w:rsidP="007B1BDB">
      <w:pPr>
        <w:spacing w:before="240" w:line="360" w:lineRule="auto"/>
      </w:pPr>
      <w:r>
        <w:t>The education level of the respondents varies widely. Among the 156 respondents, 18 individuals (11.5%) have no formal education. A slightly higher number, 21 respondents (13.5%), have completed primary education. The largest group, consisting of 72 respondents (46.2%), have received secondary education. A significant portion, 33 respondents (21.2%), hold a bachelor's degree. Lastly, 12 respondents (7.7%) have attained a master's degree or higher. This distribution shows that a majority of the respondents have at least a secondary level of education, with a notable proportion having higher education qualifications. The cumulative percentages indicate the progression, reaching a full 100% when all education levels are combined, illustrating the diversity in educational backgrounds among the participants.</w:t>
      </w:r>
    </w:p>
    <w:tbl>
      <w:tblPr>
        <w:tblW w:w="7924" w:type="dxa"/>
        <w:tblLayout w:type="fixed"/>
        <w:tblCellMar>
          <w:left w:w="0" w:type="dxa"/>
          <w:right w:w="0" w:type="dxa"/>
        </w:tblCellMar>
        <w:tblLook w:val="0000" w:firstRow="0" w:lastRow="0" w:firstColumn="0" w:lastColumn="0" w:noHBand="0" w:noVBand="0"/>
      </w:tblPr>
      <w:tblGrid>
        <w:gridCol w:w="734"/>
        <w:gridCol w:w="2142"/>
        <w:gridCol w:w="1162"/>
        <w:gridCol w:w="1024"/>
        <w:gridCol w:w="1393"/>
        <w:gridCol w:w="1469"/>
      </w:tblGrid>
      <w:tr w:rsidR="00014433" w:rsidRPr="00FB76B7" w14:paraId="4FA3D2F7" w14:textId="77777777" w:rsidTr="00014433">
        <w:trPr>
          <w:cantSplit/>
        </w:trPr>
        <w:tc>
          <w:tcPr>
            <w:tcW w:w="7924" w:type="dxa"/>
            <w:gridSpan w:val="6"/>
            <w:tcBorders>
              <w:bottom w:val="single" w:sz="4" w:space="0" w:color="auto"/>
            </w:tcBorders>
            <w:shd w:val="clear" w:color="auto" w:fill="auto"/>
            <w:vAlign w:val="center"/>
          </w:tcPr>
          <w:p w14:paraId="2E38AF24" w14:textId="77777777" w:rsidR="00014433" w:rsidRPr="00FB76B7" w:rsidRDefault="00014433" w:rsidP="00A83E8B">
            <w:pPr>
              <w:jc w:val="center"/>
            </w:pPr>
            <w:r w:rsidRPr="00FB76B7">
              <w:t>Household Size</w:t>
            </w:r>
          </w:p>
        </w:tc>
      </w:tr>
      <w:tr w:rsidR="00014433" w:rsidRPr="00FB76B7" w14:paraId="1B9AFA5C" w14:textId="77777777" w:rsidTr="00014433">
        <w:trPr>
          <w:cantSplit/>
        </w:trPr>
        <w:tc>
          <w:tcPr>
            <w:tcW w:w="2876" w:type="dxa"/>
            <w:gridSpan w:val="2"/>
            <w:tcBorders>
              <w:top w:val="single" w:sz="4" w:space="0" w:color="auto"/>
              <w:bottom w:val="single" w:sz="4" w:space="0" w:color="auto"/>
            </w:tcBorders>
            <w:shd w:val="clear" w:color="auto" w:fill="auto"/>
            <w:vAlign w:val="bottom"/>
          </w:tcPr>
          <w:p w14:paraId="5AE1343B" w14:textId="77777777" w:rsidR="00014433" w:rsidRPr="00FB76B7" w:rsidRDefault="00014433"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0C9DA7DC"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173D5008"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3" w:type="dxa"/>
            <w:tcBorders>
              <w:top w:val="single" w:sz="4" w:space="0" w:color="auto"/>
              <w:bottom w:val="single" w:sz="4" w:space="0" w:color="auto"/>
            </w:tcBorders>
            <w:shd w:val="clear" w:color="auto" w:fill="auto"/>
            <w:vAlign w:val="bottom"/>
          </w:tcPr>
          <w:p w14:paraId="263403B9"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347F8841"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014433" w:rsidRPr="00FB76B7" w14:paraId="0EC2FB96" w14:textId="77777777" w:rsidTr="00014433">
        <w:trPr>
          <w:cantSplit/>
        </w:trPr>
        <w:tc>
          <w:tcPr>
            <w:tcW w:w="734" w:type="dxa"/>
            <w:vMerge w:val="restart"/>
            <w:tcBorders>
              <w:top w:val="single" w:sz="4" w:space="0" w:color="auto"/>
            </w:tcBorders>
            <w:shd w:val="clear" w:color="auto" w:fill="auto"/>
          </w:tcPr>
          <w:p w14:paraId="23835F9C"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p>
        </w:tc>
        <w:tc>
          <w:tcPr>
            <w:tcW w:w="2142" w:type="dxa"/>
            <w:tcBorders>
              <w:top w:val="single" w:sz="4" w:space="0" w:color="auto"/>
            </w:tcBorders>
            <w:shd w:val="clear" w:color="auto" w:fill="auto"/>
          </w:tcPr>
          <w:p w14:paraId="01F7A264"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1-2 Members</w:t>
            </w:r>
          </w:p>
        </w:tc>
        <w:tc>
          <w:tcPr>
            <w:tcW w:w="1162" w:type="dxa"/>
            <w:tcBorders>
              <w:top w:val="single" w:sz="4" w:space="0" w:color="auto"/>
            </w:tcBorders>
            <w:shd w:val="clear" w:color="auto" w:fill="auto"/>
          </w:tcPr>
          <w:p w14:paraId="141D8B15"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w:t>
            </w:r>
          </w:p>
        </w:tc>
        <w:tc>
          <w:tcPr>
            <w:tcW w:w="1024" w:type="dxa"/>
            <w:tcBorders>
              <w:top w:val="single" w:sz="4" w:space="0" w:color="auto"/>
            </w:tcBorders>
            <w:shd w:val="clear" w:color="auto" w:fill="auto"/>
          </w:tcPr>
          <w:p w14:paraId="4C6D5350"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w:t>
            </w:r>
          </w:p>
        </w:tc>
        <w:tc>
          <w:tcPr>
            <w:tcW w:w="1393" w:type="dxa"/>
            <w:tcBorders>
              <w:top w:val="single" w:sz="4" w:space="0" w:color="auto"/>
            </w:tcBorders>
            <w:shd w:val="clear" w:color="auto" w:fill="auto"/>
          </w:tcPr>
          <w:p w14:paraId="1921F4C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w:t>
            </w:r>
          </w:p>
        </w:tc>
        <w:tc>
          <w:tcPr>
            <w:tcW w:w="1469" w:type="dxa"/>
            <w:tcBorders>
              <w:top w:val="single" w:sz="4" w:space="0" w:color="auto"/>
            </w:tcBorders>
            <w:shd w:val="clear" w:color="auto" w:fill="auto"/>
          </w:tcPr>
          <w:p w14:paraId="46B7A85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w:t>
            </w:r>
          </w:p>
        </w:tc>
      </w:tr>
      <w:tr w:rsidR="00014433" w:rsidRPr="00FB76B7" w14:paraId="0F5700E8" w14:textId="77777777" w:rsidTr="00014433">
        <w:trPr>
          <w:cantSplit/>
        </w:trPr>
        <w:tc>
          <w:tcPr>
            <w:tcW w:w="734" w:type="dxa"/>
            <w:vMerge/>
            <w:shd w:val="clear" w:color="auto" w:fill="auto"/>
          </w:tcPr>
          <w:p w14:paraId="693A705F"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142" w:type="dxa"/>
            <w:shd w:val="clear" w:color="auto" w:fill="auto"/>
          </w:tcPr>
          <w:p w14:paraId="01F5E646"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3-4 Members</w:t>
            </w:r>
          </w:p>
        </w:tc>
        <w:tc>
          <w:tcPr>
            <w:tcW w:w="1162" w:type="dxa"/>
            <w:shd w:val="clear" w:color="auto" w:fill="auto"/>
          </w:tcPr>
          <w:p w14:paraId="518FC546"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56</w:t>
            </w:r>
          </w:p>
        </w:tc>
        <w:tc>
          <w:tcPr>
            <w:tcW w:w="1024" w:type="dxa"/>
            <w:shd w:val="clear" w:color="auto" w:fill="auto"/>
          </w:tcPr>
          <w:p w14:paraId="138FF0F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35.9</w:t>
            </w:r>
          </w:p>
        </w:tc>
        <w:tc>
          <w:tcPr>
            <w:tcW w:w="1393" w:type="dxa"/>
            <w:shd w:val="clear" w:color="auto" w:fill="auto"/>
          </w:tcPr>
          <w:p w14:paraId="141BF8B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35.9</w:t>
            </w:r>
          </w:p>
        </w:tc>
        <w:tc>
          <w:tcPr>
            <w:tcW w:w="1469" w:type="dxa"/>
            <w:shd w:val="clear" w:color="auto" w:fill="auto"/>
          </w:tcPr>
          <w:p w14:paraId="10224FA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36.5</w:t>
            </w:r>
          </w:p>
        </w:tc>
      </w:tr>
      <w:tr w:rsidR="00014433" w:rsidRPr="00FB76B7" w14:paraId="7BF598CC" w14:textId="77777777" w:rsidTr="00014433">
        <w:trPr>
          <w:cantSplit/>
        </w:trPr>
        <w:tc>
          <w:tcPr>
            <w:tcW w:w="734" w:type="dxa"/>
            <w:vMerge/>
            <w:shd w:val="clear" w:color="auto" w:fill="auto"/>
          </w:tcPr>
          <w:p w14:paraId="17CA7716"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142" w:type="dxa"/>
            <w:shd w:val="clear" w:color="auto" w:fill="auto"/>
          </w:tcPr>
          <w:p w14:paraId="4D474050"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5-6 Members</w:t>
            </w:r>
          </w:p>
        </w:tc>
        <w:tc>
          <w:tcPr>
            <w:tcW w:w="1162" w:type="dxa"/>
            <w:shd w:val="clear" w:color="auto" w:fill="auto"/>
          </w:tcPr>
          <w:p w14:paraId="417B152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76</w:t>
            </w:r>
          </w:p>
        </w:tc>
        <w:tc>
          <w:tcPr>
            <w:tcW w:w="1024" w:type="dxa"/>
            <w:shd w:val="clear" w:color="auto" w:fill="auto"/>
          </w:tcPr>
          <w:p w14:paraId="29E85091"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48.7</w:t>
            </w:r>
          </w:p>
        </w:tc>
        <w:tc>
          <w:tcPr>
            <w:tcW w:w="1393" w:type="dxa"/>
            <w:shd w:val="clear" w:color="auto" w:fill="auto"/>
          </w:tcPr>
          <w:p w14:paraId="50678FC2"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48.7</w:t>
            </w:r>
          </w:p>
        </w:tc>
        <w:tc>
          <w:tcPr>
            <w:tcW w:w="1469" w:type="dxa"/>
            <w:shd w:val="clear" w:color="auto" w:fill="auto"/>
          </w:tcPr>
          <w:p w14:paraId="3002F17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85.3</w:t>
            </w:r>
          </w:p>
        </w:tc>
      </w:tr>
      <w:tr w:rsidR="00014433" w:rsidRPr="00FB76B7" w14:paraId="553EACC0" w14:textId="77777777" w:rsidTr="00014433">
        <w:trPr>
          <w:cantSplit/>
        </w:trPr>
        <w:tc>
          <w:tcPr>
            <w:tcW w:w="734" w:type="dxa"/>
            <w:vMerge/>
            <w:shd w:val="clear" w:color="auto" w:fill="auto"/>
          </w:tcPr>
          <w:p w14:paraId="17F3CA04"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142" w:type="dxa"/>
            <w:shd w:val="clear" w:color="auto" w:fill="auto"/>
          </w:tcPr>
          <w:p w14:paraId="7E99B153"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More than 6 members</w:t>
            </w:r>
          </w:p>
        </w:tc>
        <w:tc>
          <w:tcPr>
            <w:tcW w:w="1162" w:type="dxa"/>
            <w:shd w:val="clear" w:color="auto" w:fill="auto"/>
          </w:tcPr>
          <w:p w14:paraId="6934ADF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23</w:t>
            </w:r>
          </w:p>
        </w:tc>
        <w:tc>
          <w:tcPr>
            <w:tcW w:w="1024" w:type="dxa"/>
            <w:shd w:val="clear" w:color="auto" w:fill="auto"/>
          </w:tcPr>
          <w:p w14:paraId="2503D865"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14.7</w:t>
            </w:r>
          </w:p>
        </w:tc>
        <w:tc>
          <w:tcPr>
            <w:tcW w:w="1393" w:type="dxa"/>
            <w:shd w:val="clear" w:color="auto" w:fill="auto"/>
          </w:tcPr>
          <w:p w14:paraId="1F915C7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14.7</w:t>
            </w:r>
          </w:p>
        </w:tc>
        <w:tc>
          <w:tcPr>
            <w:tcW w:w="1469" w:type="dxa"/>
            <w:shd w:val="clear" w:color="auto" w:fill="auto"/>
          </w:tcPr>
          <w:p w14:paraId="2695A098"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014433" w:rsidRPr="00FB76B7" w14:paraId="2E91967A" w14:textId="77777777" w:rsidTr="00014433">
        <w:trPr>
          <w:cantSplit/>
        </w:trPr>
        <w:tc>
          <w:tcPr>
            <w:tcW w:w="734" w:type="dxa"/>
            <w:vMerge/>
            <w:shd w:val="clear" w:color="auto" w:fill="auto"/>
          </w:tcPr>
          <w:p w14:paraId="6076312B"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142" w:type="dxa"/>
            <w:tcBorders>
              <w:bottom w:val="single" w:sz="4" w:space="0" w:color="auto"/>
            </w:tcBorders>
            <w:shd w:val="clear" w:color="auto" w:fill="auto"/>
          </w:tcPr>
          <w:p w14:paraId="31491C48"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tcBorders>
              <w:bottom w:val="single" w:sz="4" w:space="0" w:color="auto"/>
            </w:tcBorders>
            <w:shd w:val="clear" w:color="auto" w:fill="auto"/>
          </w:tcPr>
          <w:p w14:paraId="5CCED1F1"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tcBorders>
              <w:bottom w:val="single" w:sz="4" w:space="0" w:color="auto"/>
            </w:tcBorders>
            <w:shd w:val="clear" w:color="auto" w:fill="auto"/>
          </w:tcPr>
          <w:p w14:paraId="0558F7F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3" w:type="dxa"/>
            <w:tcBorders>
              <w:bottom w:val="single" w:sz="4" w:space="0" w:color="auto"/>
            </w:tcBorders>
            <w:shd w:val="clear" w:color="auto" w:fill="auto"/>
          </w:tcPr>
          <w:p w14:paraId="412CE03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tcBorders>
              <w:bottom w:val="single" w:sz="4" w:space="0" w:color="auto"/>
            </w:tcBorders>
            <w:shd w:val="clear" w:color="auto" w:fill="auto"/>
            <w:vAlign w:val="center"/>
          </w:tcPr>
          <w:p w14:paraId="71A3A8DA" w14:textId="77777777" w:rsidR="00014433" w:rsidRPr="00FB76B7" w:rsidRDefault="00014433" w:rsidP="007B1BDB">
            <w:pPr>
              <w:autoSpaceDE w:val="0"/>
              <w:autoSpaceDN w:val="0"/>
              <w:adjustRightInd w:val="0"/>
              <w:spacing w:after="0" w:line="360" w:lineRule="auto"/>
              <w:jc w:val="left"/>
              <w:rPr>
                <w:rFonts w:cs="Times New Roman"/>
                <w:szCs w:val="24"/>
              </w:rPr>
            </w:pPr>
          </w:p>
        </w:tc>
      </w:tr>
    </w:tbl>
    <w:p w14:paraId="4DD61524" w14:textId="2A01F118" w:rsidR="00DC7786" w:rsidRDefault="00DC7786" w:rsidP="007B1BDB">
      <w:pPr>
        <w:spacing w:before="240" w:line="360" w:lineRule="auto"/>
      </w:pPr>
      <w:r>
        <w:t xml:space="preserve">           Fig-4.4: Household size of the respondents</w:t>
      </w:r>
    </w:p>
    <w:p w14:paraId="04EA5E84" w14:textId="126528AC" w:rsidR="00014433" w:rsidRDefault="00014433" w:rsidP="007B1BDB">
      <w:pPr>
        <w:spacing w:before="240" w:line="360" w:lineRule="auto"/>
      </w:pPr>
      <w:r>
        <w:t>The household size of the respondents shows different family structures. Out of 156 respondents, only 1 household (0.6%) has 1-2 members. The next group, with 3-4 members, includes 56 households, making up 35.9% of the total. The largest group consists of 76 households (48.7%) with 5-6 members. Lastly, 23 households (14.7%) have more than 6 members. This data indicates that the majority of households have 5-</w:t>
      </w:r>
      <w:r>
        <w:lastRenderedPageBreak/>
        <w:t>6 members, while smaller and larger households are less common. The cumulative percentages add up to 100%, showing a complete representation of household sizes in the study.</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875"/>
        <w:gridCol w:w="1405"/>
        <w:gridCol w:w="1387"/>
        <w:gridCol w:w="1223"/>
        <w:gridCol w:w="1663"/>
        <w:gridCol w:w="1753"/>
      </w:tblGrid>
      <w:tr w:rsidR="00014433" w:rsidRPr="00FB76B7" w14:paraId="1864B904" w14:textId="77777777" w:rsidTr="00326751">
        <w:trPr>
          <w:cantSplit/>
        </w:trPr>
        <w:tc>
          <w:tcPr>
            <w:tcW w:w="5000" w:type="pct"/>
            <w:gridSpan w:val="6"/>
            <w:tcBorders>
              <w:bottom w:val="single" w:sz="4" w:space="0" w:color="auto"/>
            </w:tcBorders>
            <w:shd w:val="clear" w:color="auto" w:fill="auto"/>
            <w:vAlign w:val="center"/>
          </w:tcPr>
          <w:p w14:paraId="3CF4DA3A" w14:textId="77777777" w:rsidR="00014433" w:rsidRPr="00FB76B7" w:rsidRDefault="00014433" w:rsidP="00A83E8B">
            <w:pPr>
              <w:jc w:val="center"/>
            </w:pPr>
            <w:r w:rsidRPr="00FB76B7">
              <w:t>Who sends the remittance</w:t>
            </w:r>
          </w:p>
        </w:tc>
      </w:tr>
      <w:tr w:rsidR="00014433" w:rsidRPr="00FB76B7" w14:paraId="29925CEF" w14:textId="77777777" w:rsidTr="00326751">
        <w:trPr>
          <w:cantSplit/>
        </w:trPr>
        <w:tc>
          <w:tcPr>
            <w:tcW w:w="1373" w:type="pct"/>
            <w:gridSpan w:val="2"/>
            <w:tcBorders>
              <w:top w:val="single" w:sz="4" w:space="0" w:color="auto"/>
              <w:bottom w:val="single" w:sz="4" w:space="0" w:color="auto"/>
            </w:tcBorders>
            <w:shd w:val="clear" w:color="auto" w:fill="auto"/>
            <w:vAlign w:val="bottom"/>
          </w:tcPr>
          <w:p w14:paraId="6B1A8F0A" w14:textId="77777777" w:rsidR="00014433" w:rsidRPr="00FB76B7" w:rsidRDefault="00014433" w:rsidP="00326751">
            <w:pPr>
              <w:jc w:val="center"/>
              <w:rPr>
                <w:rFonts w:cs="Times New Roman"/>
                <w:szCs w:val="24"/>
              </w:rPr>
            </w:pPr>
          </w:p>
        </w:tc>
        <w:tc>
          <w:tcPr>
            <w:tcW w:w="835" w:type="pct"/>
            <w:tcBorders>
              <w:top w:val="single" w:sz="4" w:space="0" w:color="auto"/>
              <w:bottom w:val="single" w:sz="4" w:space="0" w:color="auto"/>
            </w:tcBorders>
            <w:shd w:val="clear" w:color="auto" w:fill="auto"/>
            <w:vAlign w:val="bottom"/>
          </w:tcPr>
          <w:p w14:paraId="74EE627F"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736" w:type="pct"/>
            <w:tcBorders>
              <w:top w:val="single" w:sz="4" w:space="0" w:color="auto"/>
              <w:bottom w:val="single" w:sz="4" w:space="0" w:color="auto"/>
            </w:tcBorders>
            <w:shd w:val="clear" w:color="auto" w:fill="auto"/>
            <w:vAlign w:val="bottom"/>
          </w:tcPr>
          <w:p w14:paraId="7845A9AE"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001" w:type="pct"/>
            <w:tcBorders>
              <w:top w:val="single" w:sz="4" w:space="0" w:color="auto"/>
              <w:bottom w:val="single" w:sz="4" w:space="0" w:color="auto"/>
            </w:tcBorders>
            <w:shd w:val="clear" w:color="auto" w:fill="auto"/>
            <w:vAlign w:val="bottom"/>
          </w:tcPr>
          <w:p w14:paraId="238B68AE"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055" w:type="pct"/>
            <w:tcBorders>
              <w:top w:val="single" w:sz="4" w:space="0" w:color="auto"/>
              <w:bottom w:val="single" w:sz="4" w:space="0" w:color="auto"/>
            </w:tcBorders>
            <w:shd w:val="clear" w:color="auto" w:fill="auto"/>
            <w:vAlign w:val="bottom"/>
          </w:tcPr>
          <w:p w14:paraId="363BA76A"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014433" w:rsidRPr="00FB76B7" w14:paraId="2A15E923" w14:textId="77777777" w:rsidTr="00326751">
        <w:trPr>
          <w:cantSplit/>
        </w:trPr>
        <w:tc>
          <w:tcPr>
            <w:tcW w:w="527" w:type="pct"/>
            <w:vMerge w:val="restart"/>
            <w:tcBorders>
              <w:top w:val="single" w:sz="4" w:space="0" w:color="auto"/>
            </w:tcBorders>
            <w:shd w:val="clear" w:color="auto" w:fill="auto"/>
          </w:tcPr>
          <w:p w14:paraId="6F0404FA"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p>
        </w:tc>
        <w:tc>
          <w:tcPr>
            <w:tcW w:w="846" w:type="pct"/>
            <w:tcBorders>
              <w:top w:val="single" w:sz="4" w:space="0" w:color="auto"/>
            </w:tcBorders>
            <w:shd w:val="clear" w:color="auto" w:fill="auto"/>
          </w:tcPr>
          <w:p w14:paraId="083FE7F4"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Agriculture</w:t>
            </w:r>
          </w:p>
        </w:tc>
        <w:tc>
          <w:tcPr>
            <w:tcW w:w="835" w:type="pct"/>
            <w:tcBorders>
              <w:top w:val="single" w:sz="4" w:space="0" w:color="auto"/>
            </w:tcBorders>
            <w:shd w:val="clear" w:color="auto" w:fill="auto"/>
          </w:tcPr>
          <w:p w14:paraId="16B23C4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39</w:t>
            </w:r>
          </w:p>
        </w:tc>
        <w:tc>
          <w:tcPr>
            <w:tcW w:w="736" w:type="pct"/>
            <w:tcBorders>
              <w:top w:val="single" w:sz="4" w:space="0" w:color="auto"/>
            </w:tcBorders>
            <w:shd w:val="clear" w:color="auto" w:fill="auto"/>
          </w:tcPr>
          <w:p w14:paraId="4EC04CC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25.0</w:t>
            </w:r>
          </w:p>
        </w:tc>
        <w:tc>
          <w:tcPr>
            <w:tcW w:w="1001" w:type="pct"/>
            <w:tcBorders>
              <w:top w:val="single" w:sz="4" w:space="0" w:color="auto"/>
            </w:tcBorders>
            <w:shd w:val="clear" w:color="auto" w:fill="auto"/>
          </w:tcPr>
          <w:p w14:paraId="424F7E2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25.0</w:t>
            </w:r>
          </w:p>
        </w:tc>
        <w:tc>
          <w:tcPr>
            <w:tcW w:w="1055" w:type="pct"/>
            <w:tcBorders>
              <w:top w:val="single" w:sz="4" w:space="0" w:color="auto"/>
            </w:tcBorders>
            <w:shd w:val="clear" w:color="auto" w:fill="auto"/>
          </w:tcPr>
          <w:p w14:paraId="7EA8BAD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25.0</w:t>
            </w:r>
          </w:p>
        </w:tc>
      </w:tr>
      <w:tr w:rsidR="00014433" w:rsidRPr="00FB76B7" w14:paraId="680DA4AE" w14:textId="77777777" w:rsidTr="00326751">
        <w:trPr>
          <w:cantSplit/>
        </w:trPr>
        <w:tc>
          <w:tcPr>
            <w:tcW w:w="527" w:type="pct"/>
            <w:vMerge/>
            <w:shd w:val="clear" w:color="auto" w:fill="auto"/>
          </w:tcPr>
          <w:p w14:paraId="259D9B63"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846" w:type="pct"/>
            <w:shd w:val="clear" w:color="auto" w:fill="auto"/>
          </w:tcPr>
          <w:p w14:paraId="2A5EFD3B"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Business</w:t>
            </w:r>
          </w:p>
        </w:tc>
        <w:tc>
          <w:tcPr>
            <w:tcW w:w="835" w:type="pct"/>
            <w:shd w:val="clear" w:color="auto" w:fill="auto"/>
          </w:tcPr>
          <w:p w14:paraId="1925993A"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w:t>
            </w:r>
          </w:p>
        </w:tc>
        <w:tc>
          <w:tcPr>
            <w:tcW w:w="736" w:type="pct"/>
            <w:shd w:val="clear" w:color="auto" w:fill="auto"/>
          </w:tcPr>
          <w:p w14:paraId="527402E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16.7</w:t>
            </w:r>
          </w:p>
        </w:tc>
        <w:tc>
          <w:tcPr>
            <w:tcW w:w="1001" w:type="pct"/>
            <w:shd w:val="clear" w:color="auto" w:fill="auto"/>
          </w:tcPr>
          <w:p w14:paraId="47A0915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16.7</w:t>
            </w:r>
          </w:p>
        </w:tc>
        <w:tc>
          <w:tcPr>
            <w:tcW w:w="1055" w:type="pct"/>
            <w:shd w:val="clear" w:color="auto" w:fill="auto"/>
          </w:tcPr>
          <w:p w14:paraId="75F58C20"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41.7</w:t>
            </w:r>
          </w:p>
        </w:tc>
      </w:tr>
      <w:tr w:rsidR="00014433" w:rsidRPr="00FB76B7" w14:paraId="225BBF2F" w14:textId="77777777" w:rsidTr="00326751">
        <w:trPr>
          <w:cantSplit/>
        </w:trPr>
        <w:tc>
          <w:tcPr>
            <w:tcW w:w="527" w:type="pct"/>
            <w:vMerge/>
            <w:shd w:val="clear" w:color="auto" w:fill="auto"/>
          </w:tcPr>
          <w:p w14:paraId="6E738731"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846" w:type="pct"/>
            <w:shd w:val="clear" w:color="auto" w:fill="auto"/>
          </w:tcPr>
          <w:p w14:paraId="611656CA"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Service</w:t>
            </w:r>
          </w:p>
        </w:tc>
        <w:tc>
          <w:tcPr>
            <w:tcW w:w="835" w:type="pct"/>
            <w:shd w:val="clear" w:color="auto" w:fill="auto"/>
          </w:tcPr>
          <w:p w14:paraId="310C641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38</w:t>
            </w:r>
          </w:p>
        </w:tc>
        <w:tc>
          <w:tcPr>
            <w:tcW w:w="736" w:type="pct"/>
            <w:shd w:val="clear" w:color="auto" w:fill="auto"/>
          </w:tcPr>
          <w:p w14:paraId="4369997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24.4</w:t>
            </w:r>
          </w:p>
        </w:tc>
        <w:tc>
          <w:tcPr>
            <w:tcW w:w="1001" w:type="pct"/>
            <w:shd w:val="clear" w:color="auto" w:fill="auto"/>
          </w:tcPr>
          <w:p w14:paraId="4531E192"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24.4</w:t>
            </w:r>
          </w:p>
        </w:tc>
        <w:tc>
          <w:tcPr>
            <w:tcW w:w="1055" w:type="pct"/>
            <w:shd w:val="clear" w:color="auto" w:fill="auto"/>
          </w:tcPr>
          <w:p w14:paraId="25A7685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66.0</w:t>
            </w:r>
          </w:p>
        </w:tc>
      </w:tr>
      <w:tr w:rsidR="00014433" w:rsidRPr="00FB76B7" w14:paraId="229E30DB" w14:textId="77777777" w:rsidTr="00326751">
        <w:trPr>
          <w:cantSplit/>
        </w:trPr>
        <w:tc>
          <w:tcPr>
            <w:tcW w:w="527" w:type="pct"/>
            <w:vMerge/>
            <w:shd w:val="clear" w:color="auto" w:fill="auto"/>
          </w:tcPr>
          <w:p w14:paraId="34C22A2B"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846" w:type="pct"/>
            <w:shd w:val="clear" w:color="auto" w:fill="auto"/>
          </w:tcPr>
          <w:p w14:paraId="17D88106"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Labor</w:t>
            </w:r>
          </w:p>
        </w:tc>
        <w:tc>
          <w:tcPr>
            <w:tcW w:w="835" w:type="pct"/>
            <w:shd w:val="clear" w:color="auto" w:fill="auto"/>
          </w:tcPr>
          <w:p w14:paraId="67DA8F01"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w:t>
            </w:r>
          </w:p>
        </w:tc>
        <w:tc>
          <w:tcPr>
            <w:tcW w:w="736" w:type="pct"/>
            <w:shd w:val="clear" w:color="auto" w:fill="auto"/>
          </w:tcPr>
          <w:p w14:paraId="46AD12AC"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9.0</w:t>
            </w:r>
          </w:p>
        </w:tc>
        <w:tc>
          <w:tcPr>
            <w:tcW w:w="1001" w:type="pct"/>
            <w:shd w:val="clear" w:color="auto" w:fill="auto"/>
          </w:tcPr>
          <w:p w14:paraId="78B22D3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9.0</w:t>
            </w:r>
          </w:p>
        </w:tc>
        <w:tc>
          <w:tcPr>
            <w:tcW w:w="1055" w:type="pct"/>
            <w:shd w:val="clear" w:color="auto" w:fill="auto"/>
          </w:tcPr>
          <w:p w14:paraId="667E9EC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75.0</w:t>
            </w:r>
          </w:p>
        </w:tc>
      </w:tr>
      <w:tr w:rsidR="00014433" w:rsidRPr="00FB76B7" w14:paraId="329B1AAB" w14:textId="77777777" w:rsidTr="00326751">
        <w:trPr>
          <w:cantSplit/>
        </w:trPr>
        <w:tc>
          <w:tcPr>
            <w:tcW w:w="527" w:type="pct"/>
            <w:vMerge/>
            <w:shd w:val="clear" w:color="auto" w:fill="auto"/>
          </w:tcPr>
          <w:p w14:paraId="29C4FF00"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846" w:type="pct"/>
            <w:shd w:val="clear" w:color="auto" w:fill="auto"/>
          </w:tcPr>
          <w:p w14:paraId="05777ABF"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Student</w:t>
            </w:r>
          </w:p>
        </w:tc>
        <w:tc>
          <w:tcPr>
            <w:tcW w:w="835" w:type="pct"/>
            <w:shd w:val="clear" w:color="auto" w:fill="auto"/>
          </w:tcPr>
          <w:p w14:paraId="53AC9966"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30</w:t>
            </w:r>
          </w:p>
        </w:tc>
        <w:tc>
          <w:tcPr>
            <w:tcW w:w="736" w:type="pct"/>
            <w:shd w:val="clear" w:color="auto" w:fill="auto"/>
          </w:tcPr>
          <w:p w14:paraId="1F85B7B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19.2</w:t>
            </w:r>
          </w:p>
        </w:tc>
        <w:tc>
          <w:tcPr>
            <w:tcW w:w="1001" w:type="pct"/>
            <w:shd w:val="clear" w:color="auto" w:fill="auto"/>
          </w:tcPr>
          <w:p w14:paraId="67E6DE1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19.2</w:t>
            </w:r>
          </w:p>
        </w:tc>
        <w:tc>
          <w:tcPr>
            <w:tcW w:w="1055" w:type="pct"/>
            <w:shd w:val="clear" w:color="auto" w:fill="auto"/>
          </w:tcPr>
          <w:p w14:paraId="1EE42CE5"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94.2</w:t>
            </w:r>
          </w:p>
        </w:tc>
      </w:tr>
      <w:tr w:rsidR="00014433" w:rsidRPr="00FB76B7" w14:paraId="29283888" w14:textId="77777777" w:rsidTr="00326751">
        <w:trPr>
          <w:cantSplit/>
        </w:trPr>
        <w:tc>
          <w:tcPr>
            <w:tcW w:w="527" w:type="pct"/>
            <w:vMerge/>
            <w:shd w:val="clear" w:color="auto" w:fill="auto"/>
          </w:tcPr>
          <w:p w14:paraId="035AE4EC"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846" w:type="pct"/>
            <w:shd w:val="clear" w:color="auto" w:fill="auto"/>
          </w:tcPr>
          <w:p w14:paraId="510CDA32"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Other</w:t>
            </w:r>
          </w:p>
        </w:tc>
        <w:tc>
          <w:tcPr>
            <w:tcW w:w="835" w:type="pct"/>
            <w:shd w:val="clear" w:color="auto" w:fill="auto"/>
          </w:tcPr>
          <w:p w14:paraId="751B8D4C"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9</w:t>
            </w:r>
          </w:p>
        </w:tc>
        <w:tc>
          <w:tcPr>
            <w:tcW w:w="736" w:type="pct"/>
            <w:shd w:val="clear" w:color="auto" w:fill="auto"/>
          </w:tcPr>
          <w:p w14:paraId="3D089458"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5.8</w:t>
            </w:r>
          </w:p>
        </w:tc>
        <w:tc>
          <w:tcPr>
            <w:tcW w:w="1001" w:type="pct"/>
            <w:shd w:val="clear" w:color="auto" w:fill="auto"/>
          </w:tcPr>
          <w:p w14:paraId="0D2FD800"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5.8</w:t>
            </w:r>
          </w:p>
        </w:tc>
        <w:tc>
          <w:tcPr>
            <w:tcW w:w="1055" w:type="pct"/>
            <w:shd w:val="clear" w:color="auto" w:fill="auto"/>
          </w:tcPr>
          <w:p w14:paraId="7F7E3E4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014433" w:rsidRPr="00FB76B7" w14:paraId="52A71B8F" w14:textId="77777777" w:rsidTr="00326751">
        <w:trPr>
          <w:cantSplit/>
        </w:trPr>
        <w:tc>
          <w:tcPr>
            <w:tcW w:w="527" w:type="pct"/>
            <w:vMerge/>
            <w:shd w:val="clear" w:color="auto" w:fill="auto"/>
          </w:tcPr>
          <w:p w14:paraId="070D944C"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846" w:type="pct"/>
            <w:shd w:val="clear" w:color="auto" w:fill="auto"/>
          </w:tcPr>
          <w:p w14:paraId="2EFEE7C0"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835" w:type="pct"/>
            <w:shd w:val="clear" w:color="auto" w:fill="auto"/>
          </w:tcPr>
          <w:p w14:paraId="040D76D0"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736" w:type="pct"/>
            <w:shd w:val="clear" w:color="auto" w:fill="auto"/>
          </w:tcPr>
          <w:p w14:paraId="1393B6AC"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001" w:type="pct"/>
            <w:shd w:val="clear" w:color="auto" w:fill="auto"/>
          </w:tcPr>
          <w:p w14:paraId="24D3A54D"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055" w:type="pct"/>
            <w:shd w:val="clear" w:color="auto" w:fill="auto"/>
            <w:vAlign w:val="center"/>
          </w:tcPr>
          <w:p w14:paraId="66793304" w14:textId="77777777" w:rsidR="00014433" w:rsidRPr="00FB76B7" w:rsidRDefault="00014433" w:rsidP="007B1BDB">
            <w:pPr>
              <w:autoSpaceDE w:val="0"/>
              <w:autoSpaceDN w:val="0"/>
              <w:adjustRightInd w:val="0"/>
              <w:spacing w:after="0" w:line="360" w:lineRule="auto"/>
              <w:jc w:val="left"/>
              <w:rPr>
                <w:rFonts w:cs="Times New Roman"/>
                <w:szCs w:val="24"/>
              </w:rPr>
            </w:pPr>
          </w:p>
        </w:tc>
      </w:tr>
    </w:tbl>
    <w:p w14:paraId="1BD55478" w14:textId="68C0282C" w:rsidR="0044116A" w:rsidRDefault="0044116A" w:rsidP="007B1BDB">
      <w:pPr>
        <w:spacing w:before="240" w:line="360" w:lineRule="auto"/>
      </w:pPr>
      <w:r>
        <w:t xml:space="preserve">     Fig-4.5: Remittance of variety of occupations</w:t>
      </w:r>
    </w:p>
    <w:p w14:paraId="40CD09B5" w14:textId="496DFED0" w:rsidR="00014433" w:rsidRDefault="00014433" w:rsidP="007B1BDB">
      <w:pPr>
        <w:spacing w:before="240" w:line="360" w:lineRule="auto"/>
      </w:pPr>
      <w:r>
        <w:t>The data on who sends remittance shows a variety of occupations. Out of 156 respondents, 39 (25.0%) receive remittance from family members working in agriculture. Those in business account for 26 respondents (16.7%). Service sector workers send remittance to 38 respondents (24.4%). Remittance from laborers is received by 14 respondents (9.0%). Students send remittance to 30 respondents (19.2%). Lastly, 9 respondents (5.8%) receive remittance from other sources. This distribution highlights that agriculture, service, and business sectors are the main sources of remittance for the majority of households, while labor, students, and other sources contribute to a lesser extent. The cumulative percentages reach 100%, reflecting the complete breakdown of remittance sources among the respondents.</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840"/>
        <w:gridCol w:w="1683"/>
        <w:gridCol w:w="1331"/>
        <w:gridCol w:w="1173"/>
        <w:gridCol w:w="1595"/>
        <w:gridCol w:w="1684"/>
      </w:tblGrid>
      <w:tr w:rsidR="00014433" w:rsidRPr="00FB76B7" w14:paraId="29B21BF2" w14:textId="77777777" w:rsidTr="00326751">
        <w:trPr>
          <w:cantSplit/>
        </w:trPr>
        <w:tc>
          <w:tcPr>
            <w:tcW w:w="5000" w:type="pct"/>
            <w:gridSpan w:val="6"/>
            <w:tcBorders>
              <w:bottom w:val="single" w:sz="4" w:space="0" w:color="auto"/>
            </w:tcBorders>
            <w:shd w:val="clear" w:color="auto" w:fill="auto"/>
            <w:vAlign w:val="center"/>
          </w:tcPr>
          <w:p w14:paraId="18810BE5" w14:textId="77777777" w:rsidR="00014433" w:rsidRPr="00FB76B7" w:rsidRDefault="00014433" w:rsidP="00A83E8B">
            <w:pPr>
              <w:jc w:val="center"/>
            </w:pPr>
            <w:r w:rsidRPr="00FB76B7">
              <w:t>Who sends the remittance?</w:t>
            </w:r>
          </w:p>
        </w:tc>
      </w:tr>
      <w:tr w:rsidR="00014433" w:rsidRPr="00FB76B7" w14:paraId="534D65DC" w14:textId="77777777" w:rsidTr="00326751">
        <w:trPr>
          <w:cantSplit/>
        </w:trPr>
        <w:tc>
          <w:tcPr>
            <w:tcW w:w="1519" w:type="pct"/>
            <w:gridSpan w:val="2"/>
            <w:tcBorders>
              <w:top w:val="single" w:sz="4" w:space="0" w:color="auto"/>
              <w:bottom w:val="single" w:sz="4" w:space="0" w:color="auto"/>
            </w:tcBorders>
            <w:shd w:val="clear" w:color="auto" w:fill="auto"/>
            <w:vAlign w:val="bottom"/>
          </w:tcPr>
          <w:p w14:paraId="30E6DEE5" w14:textId="77777777" w:rsidR="00014433" w:rsidRPr="00FB76B7" w:rsidRDefault="00014433" w:rsidP="007B1BDB">
            <w:pPr>
              <w:autoSpaceDE w:val="0"/>
              <w:autoSpaceDN w:val="0"/>
              <w:adjustRightInd w:val="0"/>
              <w:spacing w:after="0" w:line="360" w:lineRule="auto"/>
              <w:jc w:val="left"/>
              <w:rPr>
                <w:rFonts w:cs="Times New Roman"/>
                <w:szCs w:val="24"/>
              </w:rPr>
            </w:pPr>
          </w:p>
        </w:tc>
        <w:tc>
          <w:tcPr>
            <w:tcW w:w="801" w:type="pct"/>
            <w:tcBorders>
              <w:top w:val="single" w:sz="4" w:space="0" w:color="auto"/>
              <w:bottom w:val="single" w:sz="4" w:space="0" w:color="auto"/>
            </w:tcBorders>
            <w:shd w:val="clear" w:color="auto" w:fill="auto"/>
            <w:vAlign w:val="bottom"/>
          </w:tcPr>
          <w:p w14:paraId="2401B1B6"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706" w:type="pct"/>
            <w:tcBorders>
              <w:top w:val="single" w:sz="4" w:space="0" w:color="auto"/>
              <w:bottom w:val="single" w:sz="4" w:space="0" w:color="auto"/>
            </w:tcBorders>
            <w:shd w:val="clear" w:color="auto" w:fill="auto"/>
            <w:vAlign w:val="bottom"/>
          </w:tcPr>
          <w:p w14:paraId="700B67A2"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960" w:type="pct"/>
            <w:tcBorders>
              <w:top w:val="single" w:sz="4" w:space="0" w:color="auto"/>
              <w:bottom w:val="single" w:sz="4" w:space="0" w:color="auto"/>
            </w:tcBorders>
            <w:shd w:val="clear" w:color="auto" w:fill="auto"/>
            <w:vAlign w:val="bottom"/>
          </w:tcPr>
          <w:p w14:paraId="0093ADDD"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013" w:type="pct"/>
            <w:tcBorders>
              <w:top w:val="single" w:sz="4" w:space="0" w:color="auto"/>
              <w:bottom w:val="single" w:sz="4" w:space="0" w:color="auto"/>
            </w:tcBorders>
            <w:shd w:val="clear" w:color="auto" w:fill="auto"/>
            <w:vAlign w:val="bottom"/>
          </w:tcPr>
          <w:p w14:paraId="3C819C13"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014433" w:rsidRPr="00FB76B7" w14:paraId="46BD9852" w14:textId="77777777" w:rsidTr="00326751">
        <w:trPr>
          <w:cantSplit/>
        </w:trPr>
        <w:tc>
          <w:tcPr>
            <w:tcW w:w="506" w:type="pct"/>
            <w:vMerge w:val="restart"/>
            <w:tcBorders>
              <w:top w:val="single" w:sz="4" w:space="0" w:color="auto"/>
            </w:tcBorders>
            <w:shd w:val="clear" w:color="auto" w:fill="auto"/>
          </w:tcPr>
          <w:p w14:paraId="5B498FDF" w14:textId="5308AC71"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p>
        </w:tc>
        <w:tc>
          <w:tcPr>
            <w:tcW w:w="1013" w:type="pct"/>
            <w:tcBorders>
              <w:top w:val="single" w:sz="4" w:space="0" w:color="auto"/>
            </w:tcBorders>
            <w:shd w:val="clear" w:color="auto" w:fill="auto"/>
          </w:tcPr>
          <w:p w14:paraId="30214DE2"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Spouse</w:t>
            </w:r>
          </w:p>
        </w:tc>
        <w:tc>
          <w:tcPr>
            <w:tcW w:w="801" w:type="pct"/>
            <w:tcBorders>
              <w:top w:val="single" w:sz="4" w:space="0" w:color="auto"/>
            </w:tcBorders>
            <w:shd w:val="clear" w:color="auto" w:fill="auto"/>
          </w:tcPr>
          <w:p w14:paraId="08B591D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85</w:t>
            </w:r>
          </w:p>
        </w:tc>
        <w:tc>
          <w:tcPr>
            <w:tcW w:w="706" w:type="pct"/>
            <w:tcBorders>
              <w:top w:val="single" w:sz="4" w:space="0" w:color="auto"/>
            </w:tcBorders>
            <w:shd w:val="clear" w:color="auto" w:fill="auto"/>
          </w:tcPr>
          <w:p w14:paraId="38A8F4E5"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54.5</w:t>
            </w:r>
          </w:p>
        </w:tc>
        <w:tc>
          <w:tcPr>
            <w:tcW w:w="960" w:type="pct"/>
            <w:tcBorders>
              <w:top w:val="single" w:sz="4" w:space="0" w:color="auto"/>
            </w:tcBorders>
            <w:shd w:val="clear" w:color="auto" w:fill="auto"/>
          </w:tcPr>
          <w:p w14:paraId="44C7BE7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54.5</w:t>
            </w:r>
          </w:p>
        </w:tc>
        <w:tc>
          <w:tcPr>
            <w:tcW w:w="1013" w:type="pct"/>
            <w:tcBorders>
              <w:top w:val="single" w:sz="4" w:space="0" w:color="auto"/>
            </w:tcBorders>
            <w:shd w:val="clear" w:color="auto" w:fill="auto"/>
          </w:tcPr>
          <w:p w14:paraId="3DE2F42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54.5</w:t>
            </w:r>
          </w:p>
        </w:tc>
      </w:tr>
      <w:tr w:rsidR="00014433" w:rsidRPr="00FB76B7" w14:paraId="72755541" w14:textId="77777777" w:rsidTr="00326751">
        <w:trPr>
          <w:cantSplit/>
        </w:trPr>
        <w:tc>
          <w:tcPr>
            <w:tcW w:w="506" w:type="pct"/>
            <w:vMerge/>
            <w:shd w:val="clear" w:color="auto" w:fill="auto"/>
          </w:tcPr>
          <w:p w14:paraId="728949F1"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13" w:type="pct"/>
            <w:shd w:val="clear" w:color="auto" w:fill="auto"/>
          </w:tcPr>
          <w:p w14:paraId="17E69FAF"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Parent</w:t>
            </w:r>
          </w:p>
        </w:tc>
        <w:tc>
          <w:tcPr>
            <w:tcW w:w="801" w:type="pct"/>
            <w:shd w:val="clear" w:color="auto" w:fill="auto"/>
          </w:tcPr>
          <w:p w14:paraId="0588BD3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55</w:t>
            </w:r>
          </w:p>
        </w:tc>
        <w:tc>
          <w:tcPr>
            <w:tcW w:w="706" w:type="pct"/>
            <w:shd w:val="clear" w:color="auto" w:fill="auto"/>
          </w:tcPr>
          <w:p w14:paraId="69D09DA2"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35.3</w:t>
            </w:r>
          </w:p>
        </w:tc>
        <w:tc>
          <w:tcPr>
            <w:tcW w:w="960" w:type="pct"/>
            <w:shd w:val="clear" w:color="auto" w:fill="auto"/>
          </w:tcPr>
          <w:p w14:paraId="033C2CD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35.3</w:t>
            </w:r>
          </w:p>
        </w:tc>
        <w:tc>
          <w:tcPr>
            <w:tcW w:w="1013" w:type="pct"/>
            <w:shd w:val="clear" w:color="auto" w:fill="auto"/>
          </w:tcPr>
          <w:p w14:paraId="3690F78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89.7</w:t>
            </w:r>
          </w:p>
        </w:tc>
      </w:tr>
      <w:tr w:rsidR="00014433" w:rsidRPr="00FB76B7" w14:paraId="26397049" w14:textId="77777777" w:rsidTr="00326751">
        <w:trPr>
          <w:cantSplit/>
        </w:trPr>
        <w:tc>
          <w:tcPr>
            <w:tcW w:w="506" w:type="pct"/>
            <w:vMerge/>
            <w:shd w:val="clear" w:color="auto" w:fill="auto"/>
          </w:tcPr>
          <w:p w14:paraId="1A549394"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13" w:type="pct"/>
            <w:shd w:val="clear" w:color="auto" w:fill="auto"/>
          </w:tcPr>
          <w:p w14:paraId="39AE5D12"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Other Relative</w:t>
            </w:r>
          </w:p>
        </w:tc>
        <w:tc>
          <w:tcPr>
            <w:tcW w:w="801" w:type="pct"/>
            <w:shd w:val="clear" w:color="auto" w:fill="auto"/>
          </w:tcPr>
          <w:p w14:paraId="7135603D"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16</w:t>
            </w:r>
          </w:p>
        </w:tc>
        <w:tc>
          <w:tcPr>
            <w:tcW w:w="706" w:type="pct"/>
            <w:shd w:val="clear" w:color="auto" w:fill="auto"/>
          </w:tcPr>
          <w:p w14:paraId="27BA092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10.3</w:t>
            </w:r>
          </w:p>
        </w:tc>
        <w:tc>
          <w:tcPr>
            <w:tcW w:w="960" w:type="pct"/>
            <w:shd w:val="clear" w:color="auto" w:fill="auto"/>
          </w:tcPr>
          <w:p w14:paraId="26FE2D42"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10.3</w:t>
            </w:r>
          </w:p>
        </w:tc>
        <w:tc>
          <w:tcPr>
            <w:tcW w:w="1013" w:type="pct"/>
            <w:shd w:val="clear" w:color="auto" w:fill="auto"/>
          </w:tcPr>
          <w:p w14:paraId="001AFBC5"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014433" w:rsidRPr="00FB76B7" w14:paraId="1048374C" w14:textId="77777777" w:rsidTr="00326751">
        <w:trPr>
          <w:cantSplit/>
        </w:trPr>
        <w:tc>
          <w:tcPr>
            <w:tcW w:w="506" w:type="pct"/>
            <w:vMerge/>
            <w:shd w:val="clear" w:color="auto" w:fill="auto"/>
          </w:tcPr>
          <w:p w14:paraId="04957173"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13" w:type="pct"/>
            <w:shd w:val="clear" w:color="auto" w:fill="auto"/>
          </w:tcPr>
          <w:p w14:paraId="742DEADE"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801" w:type="pct"/>
            <w:shd w:val="clear" w:color="auto" w:fill="auto"/>
          </w:tcPr>
          <w:p w14:paraId="2098394A"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706" w:type="pct"/>
            <w:shd w:val="clear" w:color="auto" w:fill="auto"/>
          </w:tcPr>
          <w:p w14:paraId="0ADAA26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960" w:type="pct"/>
            <w:shd w:val="clear" w:color="auto" w:fill="auto"/>
          </w:tcPr>
          <w:p w14:paraId="0096019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013" w:type="pct"/>
            <w:shd w:val="clear" w:color="auto" w:fill="auto"/>
            <w:vAlign w:val="center"/>
          </w:tcPr>
          <w:p w14:paraId="15C70CF1" w14:textId="77777777" w:rsidR="00014433" w:rsidRPr="00FB76B7" w:rsidRDefault="00014433" w:rsidP="007B1BDB">
            <w:pPr>
              <w:autoSpaceDE w:val="0"/>
              <w:autoSpaceDN w:val="0"/>
              <w:adjustRightInd w:val="0"/>
              <w:spacing w:after="0" w:line="360" w:lineRule="auto"/>
              <w:jc w:val="left"/>
              <w:rPr>
                <w:rFonts w:cs="Times New Roman"/>
                <w:szCs w:val="24"/>
              </w:rPr>
            </w:pPr>
          </w:p>
        </w:tc>
      </w:tr>
    </w:tbl>
    <w:p w14:paraId="422C2DF3" w14:textId="463F0D14" w:rsidR="00B84EF2" w:rsidRDefault="00B84EF2" w:rsidP="007B1BDB">
      <w:pPr>
        <w:spacing w:before="240" w:line="360" w:lineRule="auto"/>
      </w:pPr>
      <w:r>
        <w:t xml:space="preserve">    Fig-4.6: </w:t>
      </w:r>
      <w:r w:rsidRPr="00FB76B7">
        <w:t>Who sends the remittance</w:t>
      </w:r>
    </w:p>
    <w:p w14:paraId="1AE550E6" w14:textId="683B334E" w:rsidR="00591AA9" w:rsidRDefault="00014433" w:rsidP="007B1BDB">
      <w:pPr>
        <w:spacing w:before="240" w:line="360" w:lineRule="auto"/>
      </w:pPr>
      <w:r>
        <w:t xml:space="preserve">The data on who sends the remittance reveals three main groups. Out of 156 respondents, the majority, 85 (54.5%), receive remittance from their spouse. A </w:t>
      </w:r>
      <w:r>
        <w:lastRenderedPageBreak/>
        <w:t>significant number, 55 respondents (35.3%), get remittance from their parent. The remaining 16 respondents (10.3%) receive remittance from other relatives. This distribution shows that spouses are the primary senders of remittance, followed by parents, and then other relatives. The cumulative percentages add up to 100%, indicating a complete representation of the sources of remittance among the respondents.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37"/>
        <w:gridCol w:w="1711"/>
        <w:gridCol w:w="1326"/>
        <w:gridCol w:w="1168"/>
        <w:gridCol w:w="1588"/>
        <w:gridCol w:w="1676"/>
      </w:tblGrid>
      <w:tr w:rsidR="00014433" w:rsidRPr="00FB76B7" w14:paraId="1A88F87F" w14:textId="77777777" w:rsidTr="00326751">
        <w:trPr>
          <w:cantSplit/>
        </w:trPr>
        <w:tc>
          <w:tcPr>
            <w:tcW w:w="5000" w:type="pct"/>
            <w:gridSpan w:val="6"/>
            <w:tcBorders>
              <w:top w:val="single" w:sz="4" w:space="0" w:color="auto"/>
              <w:left w:val="nil"/>
              <w:bottom w:val="nil"/>
              <w:right w:val="nil"/>
            </w:tcBorders>
            <w:shd w:val="clear" w:color="auto" w:fill="auto"/>
            <w:vAlign w:val="center"/>
          </w:tcPr>
          <w:p w14:paraId="4D6443C7" w14:textId="77777777" w:rsidR="00014433" w:rsidRPr="00FB76B7" w:rsidRDefault="00014433" w:rsidP="00A83E8B">
            <w:pPr>
              <w:jc w:val="center"/>
            </w:pPr>
            <w:r w:rsidRPr="00FB76B7">
              <w:t>From which country do you receive remittance?</w:t>
            </w:r>
          </w:p>
        </w:tc>
      </w:tr>
      <w:tr w:rsidR="00014433" w:rsidRPr="00FB76B7" w14:paraId="08E760A3" w14:textId="77777777" w:rsidTr="00326751">
        <w:trPr>
          <w:cantSplit/>
        </w:trPr>
        <w:tc>
          <w:tcPr>
            <w:tcW w:w="1534" w:type="pct"/>
            <w:gridSpan w:val="2"/>
            <w:tcBorders>
              <w:top w:val="nil"/>
              <w:left w:val="nil"/>
              <w:bottom w:val="single" w:sz="8" w:space="0" w:color="152935"/>
              <w:right w:val="nil"/>
            </w:tcBorders>
            <w:shd w:val="clear" w:color="auto" w:fill="auto"/>
            <w:vAlign w:val="bottom"/>
          </w:tcPr>
          <w:p w14:paraId="13B1D364" w14:textId="77777777" w:rsidR="00014433" w:rsidRPr="00FB76B7" w:rsidRDefault="00014433" w:rsidP="007B1BDB">
            <w:pPr>
              <w:autoSpaceDE w:val="0"/>
              <w:autoSpaceDN w:val="0"/>
              <w:adjustRightInd w:val="0"/>
              <w:spacing w:after="0" w:line="360" w:lineRule="auto"/>
              <w:jc w:val="left"/>
              <w:rPr>
                <w:rFonts w:cs="Times New Roman"/>
                <w:szCs w:val="24"/>
              </w:rPr>
            </w:pPr>
          </w:p>
        </w:tc>
        <w:tc>
          <w:tcPr>
            <w:tcW w:w="798" w:type="pct"/>
            <w:tcBorders>
              <w:top w:val="nil"/>
              <w:left w:val="nil"/>
              <w:bottom w:val="single" w:sz="8" w:space="0" w:color="152935"/>
              <w:right w:val="single" w:sz="8" w:space="0" w:color="E0E0E0"/>
            </w:tcBorders>
            <w:shd w:val="clear" w:color="auto" w:fill="auto"/>
            <w:vAlign w:val="bottom"/>
          </w:tcPr>
          <w:p w14:paraId="28076019"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703" w:type="pct"/>
            <w:tcBorders>
              <w:top w:val="nil"/>
              <w:left w:val="single" w:sz="8" w:space="0" w:color="E0E0E0"/>
              <w:bottom w:val="single" w:sz="8" w:space="0" w:color="152935"/>
              <w:right w:val="single" w:sz="8" w:space="0" w:color="E0E0E0"/>
            </w:tcBorders>
            <w:shd w:val="clear" w:color="auto" w:fill="auto"/>
            <w:vAlign w:val="bottom"/>
          </w:tcPr>
          <w:p w14:paraId="3DFE5E79"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956" w:type="pct"/>
            <w:tcBorders>
              <w:top w:val="nil"/>
              <w:left w:val="single" w:sz="8" w:space="0" w:color="E0E0E0"/>
              <w:bottom w:val="single" w:sz="8" w:space="0" w:color="152935"/>
              <w:right w:val="single" w:sz="8" w:space="0" w:color="E0E0E0"/>
            </w:tcBorders>
            <w:shd w:val="clear" w:color="auto" w:fill="auto"/>
            <w:vAlign w:val="bottom"/>
          </w:tcPr>
          <w:p w14:paraId="627B150E"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009" w:type="pct"/>
            <w:tcBorders>
              <w:top w:val="nil"/>
              <w:left w:val="single" w:sz="8" w:space="0" w:color="E0E0E0"/>
              <w:bottom w:val="single" w:sz="8" w:space="0" w:color="152935"/>
              <w:right w:val="nil"/>
            </w:tcBorders>
            <w:shd w:val="clear" w:color="auto" w:fill="auto"/>
            <w:vAlign w:val="bottom"/>
          </w:tcPr>
          <w:p w14:paraId="26E3B6C5"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014433" w:rsidRPr="00FB76B7" w14:paraId="491D2C77" w14:textId="77777777" w:rsidTr="00326751">
        <w:trPr>
          <w:cantSplit/>
        </w:trPr>
        <w:tc>
          <w:tcPr>
            <w:tcW w:w="504" w:type="pct"/>
            <w:vMerge w:val="restart"/>
            <w:tcBorders>
              <w:top w:val="single" w:sz="8" w:space="0" w:color="152935"/>
              <w:left w:val="nil"/>
              <w:bottom w:val="single" w:sz="8" w:space="0" w:color="152935"/>
              <w:right w:val="nil"/>
            </w:tcBorders>
            <w:shd w:val="clear" w:color="auto" w:fill="auto"/>
          </w:tcPr>
          <w:p w14:paraId="2F73021E"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Valid</w:t>
            </w:r>
          </w:p>
        </w:tc>
        <w:tc>
          <w:tcPr>
            <w:tcW w:w="1030" w:type="pct"/>
            <w:tcBorders>
              <w:top w:val="single" w:sz="8" w:space="0" w:color="152935"/>
              <w:left w:val="nil"/>
              <w:bottom w:val="single" w:sz="8" w:space="0" w:color="AEAEAE"/>
              <w:right w:val="nil"/>
            </w:tcBorders>
            <w:shd w:val="clear" w:color="auto" w:fill="auto"/>
          </w:tcPr>
          <w:p w14:paraId="6A24F583"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India</w:t>
            </w:r>
          </w:p>
        </w:tc>
        <w:tc>
          <w:tcPr>
            <w:tcW w:w="798" w:type="pct"/>
            <w:tcBorders>
              <w:top w:val="single" w:sz="8" w:space="0" w:color="152935"/>
              <w:left w:val="nil"/>
              <w:bottom w:val="single" w:sz="8" w:space="0" w:color="AEAEAE"/>
              <w:right w:val="single" w:sz="8" w:space="0" w:color="E0E0E0"/>
            </w:tcBorders>
            <w:shd w:val="clear" w:color="auto" w:fill="auto"/>
          </w:tcPr>
          <w:p w14:paraId="26EBA0C5"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30</w:t>
            </w:r>
          </w:p>
        </w:tc>
        <w:tc>
          <w:tcPr>
            <w:tcW w:w="703" w:type="pct"/>
            <w:tcBorders>
              <w:top w:val="single" w:sz="8" w:space="0" w:color="152935"/>
              <w:left w:val="single" w:sz="8" w:space="0" w:color="E0E0E0"/>
              <w:bottom w:val="single" w:sz="8" w:space="0" w:color="AEAEAE"/>
              <w:right w:val="single" w:sz="8" w:space="0" w:color="E0E0E0"/>
            </w:tcBorders>
            <w:shd w:val="clear" w:color="auto" w:fill="auto"/>
          </w:tcPr>
          <w:p w14:paraId="38837AE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19.2</w:t>
            </w:r>
          </w:p>
        </w:tc>
        <w:tc>
          <w:tcPr>
            <w:tcW w:w="956" w:type="pct"/>
            <w:tcBorders>
              <w:top w:val="single" w:sz="8" w:space="0" w:color="152935"/>
              <w:left w:val="single" w:sz="8" w:space="0" w:color="E0E0E0"/>
              <w:bottom w:val="single" w:sz="8" w:space="0" w:color="AEAEAE"/>
              <w:right w:val="single" w:sz="8" w:space="0" w:color="E0E0E0"/>
            </w:tcBorders>
            <w:shd w:val="clear" w:color="auto" w:fill="auto"/>
          </w:tcPr>
          <w:p w14:paraId="270F123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19.2</w:t>
            </w:r>
          </w:p>
        </w:tc>
        <w:tc>
          <w:tcPr>
            <w:tcW w:w="1009" w:type="pct"/>
            <w:tcBorders>
              <w:top w:val="single" w:sz="8" w:space="0" w:color="152935"/>
              <w:left w:val="single" w:sz="8" w:space="0" w:color="E0E0E0"/>
              <w:bottom w:val="single" w:sz="8" w:space="0" w:color="AEAEAE"/>
              <w:right w:val="nil"/>
            </w:tcBorders>
            <w:shd w:val="clear" w:color="auto" w:fill="auto"/>
          </w:tcPr>
          <w:p w14:paraId="083A8C18"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19.2</w:t>
            </w:r>
          </w:p>
        </w:tc>
      </w:tr>
      <w:tr w:rsidR="00014433" w:rsidRPr="00FB76B7" w14:paraId="377B16DD" w14:textId="77777777" w:rsidTr="00326751">
        <w:trPr>
          <w:cantSplit/>
        </w:trPr>
        <w:tc>
          <w:tcPr>
            <w:tcW w:w="504" w:type="pct"/>
            <w:vMerge/>
            <w:tcBorders>
              <w:top w:val="single" w:sz="8" w:space="0" w:color="152935"/>
              <w:left w:val="nil"/>
              <w:bottom w:val="single" w:sz="8" w:space="0" w:color="152935"/>
              <w:right w:val="nil"/>
            </w:tcBorders>
            <w:shd w:val="clear" w:color="auto" w:fill="auto"/>
          </w:tcPr>
          <w:p w14:paraId="7F3FB076"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30" w:type="pct"/>
            <w:tcBorders>
              <w:top w:val="single" w:sz="8" w:space="0" w:color="AEAEAE"/>
              <w:left w:val="nil"/>
              <w:bottom w:val="single" w:sz="8" w:space="0" w:color="AEAEAE"/>
              <w:right w:val="nil"/>
            </w:tcBorders>
            <w:shd w:val="clear" w:color="auto" w:fill="auto"/>
          </w:tcPr>
          <w:p w14:paraId="496199E6"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Gulf Countries</w:t>
            </w:r>
          </w:p>
        </w:tc>
        <w:tc>
          <w:tcPr>
            <w:tcW w:w="798" w:type="pct"/>
            <w:tcBorders>
              <w:top w:val="single" w:sz="8" w:space="0" w:color="AEAEAE"/>
              <w:left w:val="nil"/>
              <w:bottom w:val="single" w:sz="8" w:space="0" w:color="AEAEAE"/>
              <w:right w:val="single" w:sz="8" w:space="0" w:color="E0E0E0"/>
            </w:tcBorders>
            <w:shd w:val="clear" w:color="auto" w:fill="auto"/>
          </w:tcPr>
          <w:p w14:paraId="4059F04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46</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5563F14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29.5</w:t>
            </w:r>
          </w:p>
        </w:tc>
        <w:tc>
          <w:tcPr>
            <w:tcW w:w="956" w:type="pct"/>
            <w:tcBorders>
              <w:top w:val="single" w:sz="8" w:space="0" w:color="AEAEAE"/>
              <w:left w:val="single" w:sz="8" w:space="0" w:color="E0E0E0"/>
              <w:bottom w:val="single" w:sz="8" w:space="0" w:color="AEAEAE"/>
              <w:right w:val="single" w:sz="8" w:space="0" w:color="E0E0E0"/>
            </w:tcBorders>
            <w:shd w:val="clear" w:color="auto" w:fill="auto"/>
          </w:tcPr>
          <w:p w14:paraId="762C9CBD"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29.5</w:t>
            </w:r>
          </w:p>
        </w:tc>
        <w:tc>
          <w:tcPr>
            <w:tcW w:w="1009" w:type="pct"/>
            <w:tcBorders>
              <w:top w:val="single" w:sz="8" w:space="0" w:color="AEAEAE"/>
              <w:left w:val="single" w:sz="8" w:space="0" w:color="E0E0E0"/>
              <w:bottom w:val="single" w:sz="8" w:space="0" w:color="AEAEAE"/>
              <w:right w:val="nil"/>
            </w:tcBorders>
            <w:shd w:val="clear" w:color="auto" w:fill="auto"/>
          </w:tcPr>
          <w:p w14:paraId="2885FE5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48.7</w:t>
            </w:r>
          </w:p>
        </w:tc>
      </w:tr>
      <w:tr w:rsidR="00014433" w:rsidRPr="00FB76B7" w14:paraId="1AEBA6B9" w14:textId="77777777" w:rsidTr="00326751">
        <w:trPr>
          <w:cantSplit/>
        </w:trPr>
        <w:tc>
          <w:tcPr>
            <w:tcW w:w="504" w:type="pct"/>
            <w:vMerge/>
            <w:tcBorders>
              <w:top w:val="single" w:sz="8" w:space="0" w:color="152935"/>
              <w:left w:val="nil"/>
              <w:bottom w:val="single" w:sz="8" w:space="0" w:color="152935"/>
              <w:right w:val="nil"/>
            </w:tcBorders>
            <w:shd w:val="clear" w:color="auto" w:fill="auto"/>
          </w:tcPr>
          <w:p w14:paraId="0828EC2A"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30" w:type="pct"/>
            <w:tcBorders>
              <w:top w:val="single" w:sz="8" w:space="0" w:color="AEAEAE"/>
              <w:left w:val="nil"/>
              <w:bottom w:val="single" w:sz="8" w:space="0" w:color="AEAEAE"/>
              <w:right w:val="nil"/>
            </w:tcBorders>
            <w:shd w:val="clear" w:color="auto" w:fill="auto"/>
          </w:tcPr>
          <w:p w14:paraId="24F8AC80"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proofErr w:type="spellStart"/>
            <w:r w:rsidRPr="00FB76B7">
              <w:rPr>
                <w:rFonts w:ascii="Arial" w:hAnsi="Arial" w:cs="Arial"/>
                <w:sz w:val="18"/>
                <w:szCs w:val="18"/>
              </w:rPr>
              <w:t>Malasiya</w:t>
            </w:r>
            <w:proofErr w:type="spellEnd"/>
          </w:p>
        </w:tc>
        <w:tc>
          <w:tcPr>
            <w:tcW w:w="798" w:type="pct"/>
            <w:tcBorders>
              <w:top w:val="single" w:sz="8" w:space="0" w:color="AEAEAE"/>
              <w:left w:val="nil"/>
              <w:bottom w:val="single" w:sz="8" w:space="0" w:color="AEAEAE"/>
              <w:right w:val="single" w:sz="8" w:space="0" w:color="E0E0E0"/>
            </w:tcBorders>
            <w:shd w:val="clear" w:color="auto" w:fill="auto"/>
          </w:tcPr>
          <w:p w14:paraId="72FE688A"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24FD5F42"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9.6</w:t>
            </w:r>
          </w:p>
        </w:tc>
        <w:tc>
          <w:tcPr>
            <w:tcW w:w="956" w:type="pct"/>
            <w:tcBorders>
              <w:top w:val="single" w:sz="8" w:space="0" w:color="AEAEAE"/>
              <w:left w:val="single" w:sz="8" w:space="0" w:color="E0E0E0"/>
              <w:bottom w:val="single" w:sz="8" w:space="0" w:color="AEAEAE"/>
              <w:right w:val="single" w:sz="8" w:space="0" w:color="E0E0E0"/>
            </w:tcBorders>
            <w:shd w:val="clear" w:color="auto" w:fill="auto"/>
          </w:tcPr>
          <w:p w14:paraId="273C3AD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9.6</w:t>
            </w:r>
          </w:p>
        </w:tc>
        <w:tc>
          <w:tcPr>
            <w:tcW w:w="1009" w:type="pct"/>
            <w:tcBorders>
              <w:top w:val="single" w:sz="8" w:space="0" w:color="AEAEAE"/>
              <w:left w:val="single" w:sz="8" w:space="0" w:color="E0E0E0"/>
              <w:bottom w:val="single" w:sz="8" w:space="0" w:color="AEAEAE"/>
              <w:right w:val="nil"/>
            </w:tcBorders>
            <w:shd w:val="clear" w:color="auto" w:fill="auto"/>
          </w:tcPr>
          <w:p w14:paraId="4CA96DF1"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58.3</w:t>
            </w:r>
          </w:p>
        </w:tc>
      </w:tr>
      <w:tr w:rsidR="00014433" w:rsidRPr="00FB76B7" w14:paraId="4BF036FD" w14:textId="77777777" w:rsidTr="00326751">
        <w:trPr>
          <w:cantSplit/>
        </w:trPr>
        <w:tc>
          <w:tcPr>
            <w:tcW w:w="504" w:type="pct"/>
            <w:vMerge/>
            <w:tcBorders>
              <w:top w:val="single" w:sz="8" w:space="0" w:color="152935"/>
              <w:left w:val="nil"/>
              <w:bottom w:val="single" w:sz="8" w:space="0" w:color="152935"/>
              <w:right w:val="nil"/>
            </w:tcBorders>
            <w:shd w:val="clear" w:color="auto" w:fill="auto"/>
          </w:tcPr>
          <w:p w14:paraId="5D67B776"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30" w:type="pct"/>
            <w:tcBorders>
              <w:top w:val="single" w:sz="8" w:space="0" w:color="AEAEAE"/>
              <w:left w:val="nil"/>
              <w:bottom w:val="single" w:sz="8" w:space="0" w:color="AEAEAE"/>
              <w:right w:val="nil"/>
            </w:tcBorders>
            <w:shd w:val="clear" w:color="auto" w:fill="auto"/>
          </w:tcPr>
          <w:p w14:paraId="6EF602CE"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USA/Canada</w:t>
            </w:r>
          </w:p>
        </w:tc>
        <w:tc>
          <w:tcPr>
            <w:tcW w:w="798" w:type="pct"/>
            <w:tcBorders>
              <w:top w:val="single" w:sz="8" w:space="0" w:color="AEAEAE"/>
              <w:left w:val="nil"/>
              <w:bottom w:val="single" w:sz="8" w:space="0" w:color="AEAEAE"/>
              <w:right w:val="single" w:sz="8" w:space="0" w:color="E0E0E0"/>
            </w:tcBorders>
            <w:shd w:val="clear" w:color="auto" w:fill="auto"/>
          </w:tcPr>
          <w:p w14:paraId="6ED689FA"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3778207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5.1</w:t>
            </w:r>
          </w:p>
        </w:tc>
        <w:tc>
          <w:tcPr>
            <w:tcW w:w="956" w:type="pct"/>
            <w:tcBorders>
              <w:top w:val="single" w:sz="8" w:space="0" w:color="AEAEAE"/>
              <w:left w:val="single" w:sz="8" w:space="0" w:color="E0E0E0"/>
              <w:bottom w:val="single" w:sz="8" w:space="0" w:color="AEAEAE"/>
              <w:right w:val="single" w:sz="8" w:space="0" w:color="E0E0E0"/>
            </w:tcBorders>
            <w:shd w:val="clear" w:color="auto" w:fill="auto"/>
          </w:tcPr>
          <w:p w14:paraId="1681B385"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5.1</w:t>
            </w:r>
          </w:p>
        </w:tc>
        <w:tc>
          <w:tcPr>
            <w:tcW w:w="1009" w:type="pct"/>
            <w:tcBorders>
              <w:top w:val="single" w:sz="8" w:space="0" w:color="AEAEAE"/>
              <w:left w:val="single" w:sz="8" w:space="0" w:color="E0E0E0"/>
              <w:bottom w:val="single" w:sz="8" w:space="0" w:color="AEAEAE"/>
              <w:right w:val="nil"/>
            </w:tcBorders>
            <w:shd w:val="clear" w:color="auto" w:fill="auto"/>
          </w:tcPr>
          <w:p w14:paraId="08D0C3B2"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63.5</w:t>
            </w:r>
          </w:p>
        </w:tc>
      </w:tr>
      <w:tr w:rsidR="00014433" w:rsidRPr="00FB76B7" w14:paraId="75897583" w14:textId="77777777" w:rsidTr="00326751">
        <w:trPr>
          <w:cantSplit/>
        </w:trPr>
        <w:tc>
          <w:tcPr>
            <w:tcW w:w="504" w:type="pct"/>
            <w:vMerge/>
            <w:tcBorders>
              <w:top w:val="single" w:sz="8" w:space="0" w:color="152935"/>
              <w:left w:val="nil"/>
              <w:bottom w:val="single" w:sz="8" w:space="0" w:color="152935"/>
              <w:right w:val="nil"/>
            </w:tcBorders>
            <w:shd w:val="clear" w:color="auto" w:fill="auto"/>
          </w:tcPr>
          <w:p w14:paraId="597A7202"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30" w:type="pct"/>
            <w:tcBorders>
              <w:top w:val="single" w:sz="8" w:space="0" w:color="AEAEAE"/>
              <w:left w:val="nil"/>
              <w:bottom w:val="single" w:sz="8" w:space="0" w:color="AEAEAE"/>
              <w:right w:val="nil"/>
            </w:tcBorders>
            <w:shd w:val="clear" w:color="auto" w:fill="auto"/>
          </w:tcPr>
          <w:p w14:paraId="4974985C"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Europe</w:t>
            </w:r>
          </w:p>
        </w:tc>
        <w:tc>
          <w:tcPr>
            <w:tcW w:w="798" w:type="pct"/>
            <w:tcBorders>
              <w:top w:val="single" w:sz="8" w:space="0" w:color="AEAEAE"/>
              <w:left w:val="nil"/>
              <w:bottom w:val="single" w:sz="8" w:space="0" w:color="AEAEAE"/>
              <w:right w:val="single" w:sz="8" w:space="0" w:color="E0E0E0"/>
            </w:tcBorders>
            <w:shd w:val="clear" w:color="auto" w:fill="auto"/>
          </w:tcPr>
          <w:p w14:paraId="1905CEE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13</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0EDF205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8.3</w:t>
            </w:r>
          </w:p>
        </w:tc>
        <w:tc>
          <w:tcPr>
            <w:tcW w:w="956" w:type="pct"/>
            <w:tcBorders>
              <w:top w:val="single" w:sz="8" w:space="0" w:color="AEAEAE"/>
              <w:left w:val="single" w:sz="8" w:space="0" w:color="E0E0E0"/>
              <w:bottom w:val="single" w:sz="8" w:space="0" w:color="AEAEAE"/>
              <w:right w:val="single" w:sz="8" w:space="0" w:color="E0E0E0"/>
            </w:tcBorders>
            <w:shd w:val="clear" w:color="auto" w:fill="auto"/>
          </w:tcPr>
          <w:p w14:paraId="20E8EB86"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8.3</w:t>
            </w:r>
          </w:p>
        </w:tc>
        <w:tc>
          <w:tcPr>
            <w:tcW w:w="1009" w:type="pct"/>
            <w:tcBorders>
              <w:top w:val="single" w:sz="8" w:space="0" w:color="AEAEAE"/>
              <w:left w:val="single" w:sz="8" w:space="0" w:color="E0E0E0"/>
              <w:bottom w:val="single" w:sz="8" w:space="0" w:color="AEAEAE"/>
              <w:right w:val="nil"/>
            </w:tcBorders>
            <w:shd w:val="clear" w:color="auto" w:fill="auto"/>
          </w:tcPr>
          <w:p w14:paraId="22A02A74"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71.8</w:t>
            </w:r>
          </w:p>
        </w:tc>
      </w:tr>
      <w:tr w:rsidR="00014433" w:rsidRPr="00FB76B7" w14:paraId="4312E697" w14:textId="77777777" w:rsidTr="00326751">
        <w:trPr>
          <w:cantSplit/>
        </w:trPr>
        <w:tc>
          <w:tcPr>
            <w:tcW w:w="504" w:type="pct"/>
            <w:vMerge/>
            <w:tcBorders>
              <w:top w:val="single" w:sz="8" w:space="0" w:color="152935"/>
              <w:left w:val="nil"/>
              <w:bottom w:val="single" w:sz="8" w:space="0" w:color="152935"/>
              <w:right w:val="nil"/>
            </w:tcBorders>
            <w:shd w:val="clear" w:color="auto" w:fill="auto"/>
          </w:tcPr>
          <w:p w14:paraId="356E0678"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30" w:type="pct"/>
            <w:tcBorders>
              <w:top w:val="single" w:sz="8" w:space="0" w:color="AEAEAE"/>
              <w:left w:val="nil"/>
              <w:bottom w:val="single" w:sz="8" w:space="0" w:color="AEAEAE"/>
              <w:right w:val="nil"/>
            </w:tcBorders>
            <w:shd w:val="clear" w:color="auto" w:fill="auto"/>
          </w:tcPr>
          <w:p w14:paraId="58FB0860"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Japan/Korea</w:t>
            </w:r>
          </w:p>
        </w:tc>
        <w:tc>
          <w:tcPr>
            <w:tcW w:w="798" w:type="pct"/>
            <w:tcBorders>
              <w:top w:val="single" w:sz="8" w:space="0" w:color="AEAEAE"/>
              <w:left w:val="nil"/>
              <w:bottom w:val="single" w:sz="8" w:space="0" w:color="AEAEAE"/>
              <w:right w:val="single" w:sz="8" w:space="0" w:color="E0E0E0"/>
            </w:tcBorders>
            <w:shd w:val="clear" w:color="auto" w:fill="auto"/>
          </w:tcPr>
          <w:p w14:paraId="317D4276"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18</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2D6B7ED0"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11.5</w:t>
            </w:r>
          </w:p>
        </w:tc>
        <w:tc>
          <w:tcPr>
            <w:tcW w:w="956" w:type="pct"/>
            <w:tcBorders>
              <w:top w:val="single" w:sz="8" w:space="0" w:color="AEAEAE"/>
              <w:left w:val="single" w:sz="8" w:space="0" w:color="E0E0E0"/>
              <w:bottom w:val="single" w:sz="8" w:space="0" w:color="AEAEAE"/>
              <w:right w:val="single" w:sz="8" w:space="0" w:color="E0E0E0"/>
            </w:tcBorders>
            <w:shd w:val="clear" w:color="auto" w:fill="auto"/>
          </w:tcPr>
          <w:p w14:paraId="0FECB22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11.5</w:t>
            </w:r>
          </w:p>
        </w:tc>
        <w:tc>
          <w:tcPr>
            <w:tcW w:w="1009" w:type="pct"/>
            <w:tcBorders>
              <w:top w:val="single" w:sz="8" w:space="0" w:color="AEAEAE"/>
              <w:left w:val="single" w:sz="8" w:space="0" w:color="E0E0E0"/>
              <w:bottom w:val="single" w:sz="8" w:space="0" w:color="AEAEAE"/>
              <w:right w:val="nil"/>
            </w:tcBorders>
            <w:shd w:val="clear" w:color="auto" w:fill="auto"/>
          </w:tcPr>
          <w:p w14:paraId="067B4BAD"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83.3</w:t>
            </w:r>
          </w:p>
        </w:tc>
      </w:tr>
      <w:tr w:rsidR="00014433" w:rsidRPr="00FB76B7" w14:paraId="1623F1F6" w14:textId="77777777" w:rsidTr="00326751">
        <w:trPr>
          <w:cantSplit/>
        </w:trPr>
        <w:tc>
          <w:tcPr>
            <w:tcW w:w="504" w:type="pct"/>
            <w:vMerge/>
            <w:tcBorders>
              <w:top w:val="single" w:sz="8" w:space="0" w:color="152935"/>
              <w:left w:val="nil"/>
              <w:bottom w:val="single" w:sz="8" w:space="0" w:color="152935"/>
              <w:right w:val="nil"/>
            </w:tcBorders>
            <w:shd w:val="clear" w:color="auto" w:fill="auto"/>
          </w:tcPr>
          <w:p w14:paraId="47251848"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30" w:type="pct"/>
            <w:tcBorders>
              <w:top w:val="single" w:sz="8" w:space="0" w:color="AEAEAE"/>
              <w:left w:val="nil"/>
              <w:bottom w:val="single" w:sz="8" w:space="0" w:color="AEAEAE"/>
              <w:right w:val="nil"/>
            </w:tcBorders>
            <w:shd w:val="clear" w:color="auto" w:fill="auto"/>
          </w:tcPr>
          <w:p w14:paraId="75214B6F"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Other</w:t>
            </w:r>
          </w:p>
        </w:tc>
        <w:tc>
          <w:tcPr>
            <w:tcW w:w="798" w:type="pct"/>
            <w:tcBorders>
              <w:top w:val="single" w:sz="8" w:space="0" w:color="AEAEAE"/>
              <w:left w:val="nil"/>
              <w:bottom w:val="single" w:sz="8" w:space="0" w:color="AEAEAE"/>
              <w:right w:val="single" w:sz="8" w:space="0" w:color="E0E0E0"/>
            </w:tcBorders>
            <w:shd w:val="clear" w:color="auto" w:fill="auto"/>
          </w:tcPr>
          <w:p w14:paraId="1957D3E4"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w:t>
            </w:r>
          </w:p>
        </w:tc>
        <w:tc>
          <w:tcPr>
            <w:tcW w:w="703" w:type="pct"/>
            <w:tcBorders>
              <w:top w:val="single" w:sz="8" w:space="0" w:color="AEAEAE"/>
              <w:left w:val="single" w:sz="8" w:space="0" w:color="E0E0E0"/>
              <w:bottom w:val="single" w:sz="8" w:space="0" w:color="AEAEAE"/>
              <w:right w:val="single" w:sz="8" w:space="0" w:color="E0E0E0"/>
            </w:tcBorders>
            <w:shd w:val="clear" w:color="auto" w:fill="auto"/>
          </w:tcPr>
          <w:p w14:paraId="5968A15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16.7</w:t>
            </w:r>
          </w:p>
        </w:tc>
        <w:tc>
          <w:tcPr>
            <w:tcW w:w="956" w:type="pct"/>
            <w:tcBorders>
              <w:top w:val="single" w:sz="8" w:space="0" w:color="AEAEAE"/>
              <w:left w:val="single" w:sz="8" w:space="0" w:color="E0E0E0"/>
              <w:bottom w:val="single" w:sz="8" w:space="0" w:color="AEAEAE"/>
              <w:right w:val="single" w:sz="8" w:space="0" w:color="E0E0E0"/>
            </w:tcBorders>
            <w:shd w:val="clear" w:color="auto" w:fill="auto"/>
          </w:tcPr>
          <w:p w14:paraId="1E01E2A4"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16.7</w:t>
            </w:r>
          </w:p>
        </w:tc>
        <w:tc>
          <w:tcPr>
            <w:tcW w:w="1009" w:type="pct"/>
            <w:tcBorders>
              <w:top w:val="single" w:sz="8" w:space="0" w:color="AEAEAE"/>
              <w:left w:val="single" w:sz="8" w:space="0" w:color="E0E0E0"/>
              <w:bottom w:val="single" w:sz="8" w:space="0" w:color="AEAEAE"/>
              <w:right w:val="nil"/>
            </w:tcBorders>
            <w:shd w:val="clear" w:color="auto" w:fill="auto"/>
          </w:tcPr>
          <w:p w14:paraId="4960803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014433" w:rsidRPr="00FB76B7" w14:paraId="6C5F0A20" w14:textId="77777777" w:rsidTr="00326751">
        <w:trPr>
          <w:cantSplit/>
        </w:trPr>
        <w:tc>
          <w:tcPr>
            <w:tcW w:w="504" w:type="pct"/>
            <w:vMerge/>
            <w:tcBorders>
              <w:top w:val="single" w:sz="8" w:space="0" w:color="152935"/>
              <w:left w:val="nil"/>
              <w:bottom w:val="single" w:sz="4" w:space="0" w:color="auto"/>
              <w:right w:val="nil"/>
            </w:tcBorders>
            <w:shd w:val="clear" w:color="auto" w:fill="auto"/>
          </w:tcPr>
          <w:p w14:paraId="7C062961"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1030" w:type="pct"/>
            <w:tcBorders>
              <w:top w:val="single" w:sz="8" w:space="0" w:color="AEAEAE"/>
              <w:left w:val="nil"/>
              <w:bottom w:val="single" w:sz="4" w:space="0" w:color="auto"/>
              <w:right w:val="nil"/>
            </w:tcBorders>
            <w:shd w:val="clear" w:color="auto" w:fill="auto"/>
          </w:tcPr>
          <w:p w14:paraId="136E653A"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798" w:type="pct"/>
            <w:tcBorders>
              <w:top w:val="single" w:sz="8" w:space="0" w:color="AEAEAE"/>
              <w:left w:val="nil"/>
              <w:bottom w:val="single" w:sz="4" w:space="0" w:color="auto"/>
              <w:right w:val="single" w:sz="8" w:space="0" w:color="E0E0E0"/>
            </w:tcBorders>
            <w:shd w:val="clear" w:color="auto" w:fill="auto"/>
          </w:tcPr>
          <w:p w14:paraId="0D2E26A2"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703" w:type="pct"/>
            <w:tcBorders>
              <w:top w:val="single" w:sz="8" w:space="0" w:color="AEAEAE"/>
              <w:left w:val="single" w:sz="8" w:space="0" w:color="E0E0E0"/>
              <w:bottom w:val="single" w:sz="4" w:space="0" w:color="auto"/>
              <w:right w:val="single" w:sz="8" w:space="0" w:color="E0E0E0"/>
            </w:tcBorders>
            <w:shd w:val="clear" w:color="auto" w:fill="auto"/>
          </w:tcPr>
          <w:p w14:paraId="3E8CD00C"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956" w:type="pct"/>
            <w:tcBorders>
              <w:top w:val="single" w:sz="8" w:space="0" w:color="AEAEAE"/>
              <w:left w:val="single" w:sz="8" w:space="0" w:color="E0E0E0"/>
              <w:bottom w:val="single" w:sz="4" w:space="0" w:color="auto"/>
              <w:right w:val="single" w:sz="8" w:space="0" w:color="E0E0E0"/>
            </w:tcBorders>
            <w:shd w:val="clear" w:color="auto" w:fill="auto"/>
          </w:tcPr>
          <w:p w14:paraId="3B1622DE"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009" w:type="pct"/>
            <w:tcBorders>
              <w:top w:val="single" w:sz="8" w:space="0" w:color="AEAEAE"/>
              <w:left w:val="single" w:sz="8" w:space="0" w:color="E0E0E0"/>
              <w:bottom w:val="single" w:sz="4" w:space="0" w:color="auto"/>
              <w:right w:val="nil"/>
            </w:tcBorders>
            <w:shd w:val="clear" w:color="auto" w:fill="auto"/>
            <w:vAlign w:val="center"/>
          </w:tcPr>
          <w:p w14:paraId="5B447590" w14:textId="77777777" w:rsidR="00014433" w:rsidRPr="00FB76B7" w:rsidRDefault="00014433" w:rsidP="007B1BDB">
            <w:pPr>
              <w:autoSpaceDE w:val="0"/>
              <w:autoSpaceDN w:val="0"/>
              <w:adjustRightInd w:val="0"/>
              <w:spacing w:after="0" w:line="360" w:lineRule="auto"/>
              <w:jc w:val="left"/>
              <w:rPr>
                <w:rFonts w:cs="Times New Roman"/>
                <w:szCs w:val="24"/>
              </w:rPr>
            </w:pPr>
          </w:p>
        </w:tc>
      </w:tr>
    </w:tbl>
    <w:p w14:paraId="771C525D" w14:textId="5CEFF934" w:rsidR="0074743B" w:rsidRDefault="0074743B" w:rsidP="007B1BDB">
      <w:pPr>
        <w:spacing w:before="240" w:line="360" w:lineRule="auto"/>
      </w:pPr>
      <w:r>
        <w:t xml:space="preserve">     Fig-4.7: Country wise receiv</w:t>
      </w:r>
      <w:r w:rsidR="002E06C7">
        <w:t>ing</w:t>
      </w:r>
      <w:r>
        <w:t xml:space="preserve"> remittance </w:t>
      </w:r>
    </w:p>
    <w:p w14:paraId="07A483E3" w14:textId="3A80B7EA" w:rsidR="00014433" w:rsidRDefault="00014433" w:rsidP="007B1BDB">
      <w:pPr>
        <w:spacing w:before="240" w:line="360" w:lineRule="auto"/>
      </w:pPr>
      <w:r w:rsidRPr="00014433">
        <w:t>The data on the countries from which respondents receive remittance indicates a variety of sources. Out of 156 respondents, the largest group, 46 (29.5%), receive remittance from Gulf countries. India is the next significant source, with 30 respondents (19.2%) receiving remittance from there. A notable number, 26 respondents (16.7%), get remittance from other unspecified countries. Remittance from Japan and Korea is received by 18 respondents (11.5%), while 15 respondents (9.6%) receive remittance from Malaysia. Smaller groups receive remittance from Europe (13 respondents, 8.3%) and the USA or Canada (8 respondents, 5.1%). This distribution shows that Gulf countries are the primary source of remittance for the majority of households, followed by India and various other countries, reflecting a broad range of remittance origins.</w:t>
      </w:r>
    </w:p>
    <w:p w14:paraId="3687DDA1" w14:textId="28FCE499" w:rsidR="00D16E6F" w:rsidRDefault="00D16E6F" w:rsidP="007B1BDB">
      <w:pPr>
        <w:pStyle w:val="Heading2"/>
      </w:pPr>
      <w:bookmarkStart w:id="26" w:name="_Toc171485436"/>
      <w:r>
        <w:t>Descriptive</w:t>
      </w:r>
      <w:r w:rsidR="00F45FEB">
        <w:t xml:space="preserve"> </w:t>
      </w:r>
      <w:r w:rsidR="00B0171D">
        <w:t>Statistics</w:t>
      </w:r>
      <w:bookmarkEnd w:id="26"/>
    </w:p>
    <w:tbl>
      <w:tblPr>
        <w:tblW w:w="8229" w:type="dxa"/>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014433" w:rsidRPr="00DC3B5B" w14:paraId="666CE241" w14:textId="77777777" w:rsidTr="00014433">
        <w:trPr>
          <w:cantSplit/>
        </w:trPr>
        <w:tc>
          <w:tcPr>
            <w:tcW w:w="8229" w:type="dxa"/>
            <w:gridSpan w:val="6"/>
            <w:tcBorders>
              <w:top w:val="single" w:sz="4" w:space="0" w:color="auto"/>
              <w:bottom w:val="single" w:sz="4" w:space="0" w:color="auto"/>
            </w:tcBorders>
            <w:shd w:val="clear" w:color="auto" w:fill="auto"/>
            <w:vAlign w:val="center"/>
          </w:tcPr>
          <w:p w14:paraId="731E248B" w14:textId="77777777" w:rsidR="00014433" w:rsidRPr="00DC3B5B" w:rsidRDefault="00014433" w:rsidP="007B1BDB">
            <w:pPr>
              <w:spacing w:line="360" w:lineRule="auto"/>
              <w:jc w:val="center"/>
            </w:pPr>
            <w:r w:rsidRPr="00DC3B5B">
              <w:t>How often do you receive remittance?</w:t>
            </w:r>
          </w:p>
        </w:tc>
      </w:tr>
      <w:tr w:rsidR="00014433" w:rsidRPr="00FB76B7" w14:paraId="21F9A718" w14:textId="77777777" w:rsidTr="00014433">
        <w:trPr>
          <w:cantSplit/>
        </w:trPr>
        <w:tc>
          <w:tcPr>
            <w:tcW w:w="3182" w:type="dxa"/>
            <w:gridSpan w:val="2"/>
            <w:tcBorders>
              <w:top w:val="single" w:sz="4" w:space="0" w:color="auto"/>
              <w:bottom w:val="single" w:sz="4" w:space="0" w:color="auto"/>
            </w:tcBorders>
            <w:shd w:val="clear" w:color="auto" w:fill="auto"/>
            <w:vAlign w:val="bottom"/>
          </w:tcPr>
          <w:p w14:paraId="7A30B7E5" w14:textId="77777777" w:rsidR="00014433" w:rsidRPr="00FB76B7" w:rsidRDefault="00014433"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3A0BB5B1"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6E46178C"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1202444F"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7C033448"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014433" w:rsidRPr="00FB76B7" w14:paraId="1EAD28E5" w14:textId="77777777" w:rsidTr="00014433">
        <w:trPr>
          <w:cantSplit/>
        </w:trPr>
        <w:tc>
          <w:tcPr>
            <w:tcW w:w="734" w:type="dxa"/>
            <w:vMerge w:val="restart"/>
            <w:tcBorders>
              <w:top w:val="single" w:sz="4" w:space="0" w:color="auto"/>
            </w:tcBorders>
            <w:shd w:val="clear" w:color="auto" w:fill="auto"/>
          </w:tcPr>
          <w:p w14:paraId="018BFDCB"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4" w:space="0" w:color="auto"/>
            </w:tcBorders>
            <w:shd w:val="clear" w:color="auto" w:fill="auto"/>
          </w:tcPr>
          <w:p w14:paraId="7293FF74"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Other</w:t>
            </w:r>
          </w:p>
        </w:tc>
        <w:tc>
          <w:tcPr>
            <w:tcW w:w="1162" w:type="dxa"/>
            <w:tcBorders>
              <w:top w:val="single" w:sz="4" w:space="0" w:color="auto"/>
            </w:tcBorders>
            <w:shd w:val="clear" w:color="auto" w:fill="auto"/>
          </w:tcPr>
          <w:p w14:paraId="32BBF38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11</w:t>
            </w:r>
          </w:p>
        </w:tc>
        <w:tc>
          <w:tcPr>
            <w:tcW w:w="1024" w:type="dxa"/>
            <w:tcBorders>
              <w:top w:val="single" w:sz="4" w:space="0" w:color="auto"/>
            </w:tcBorders>
            <w:shd w:val="clear" w:color="auto" w:fill="auto"/>
          </w:tcPr>
          <w:p w14:paraId="6F79BD08"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7.1</w:t>
            </w:r>
          </w:p>
        </w:tc>
        <w:tc>
          <w:tcPr>
            <w:tcW w:w="1392" w:type="dxa"/>
            <w:tcBorders>
              <w:top w:val="single" w:sz="4" w:space="0" w:color="auto"/>
            </w:tcBorders>
            <w:shd w:val="clear" w:color="auto" w:fill="auto"/>
          </w:tcPr>
          <w:p w14:paraId="2C55D0F2"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7.1</w:t>
            </w:r>
          </w:p>
        </w:tc>
        <w:tc>
          <w:tcPr>
            <w:tcW w:w="1469" w:type="dxa"/>
            <w:tcBorders>
              <w:top w:val="single" w:sz="4" w:space="0" w:color="auto"/>
            </w:tcBorders>
            <w:shd w:val="clear" w:color="auto" w:fill="auto"/>
          </w:tcPr>
          <w:p w14:paraId="733DA34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7.1</w:t>
            </w:r>
          </w:p>
        </w:tc>
      </w:tr>
      <w:tr w:rsidR="00014433" w:rsidRPr="00FB76B7" w14:paraId="46B339EF" w14:textId="77777777" w:rsidTr="00014433">
        <w:trPr>
          <w:cantSplit/>
        </w:trPr>
        <w:tc>
          <w:tcPr>
            <w:tcW w:w="734" w:type="dxa"/>
            <w:vMerge/>
            <w:shd w:val="clear" w:color="auto" w:fill="auto"/>
          </w:tcPr>
          <w:p w14:paraId="74068DDD"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3A7D4BB9"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Rarely (Annually)</w:t>
            </w:r>
          </w:p>
        </w:tc>
        <w:tc>
          <w:tcPr>
            <w:tcW w:w="1162" w:type="dxa"/>
            <w:shd w:val="clear" w:color="auto" w:fill="auto"/>
          </w:tcPr>
          <w:p w14:paraId="73CEDC88"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11</w:t>
            </w:r>
          </w:p>
        </w:tc>
        <w:tc>
          <w:tcPr>
            <w:tcW w:w="1024" w:type="dxa"/>
            <w:shd w:val="clear" w:color="auto" w:fill="auto"/>
          </w:tcPr>
          <w:p w14:paraId="61EF55ED"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7.1</w:t>
            </w:r>
          </w:p>
        </w:tc>
        <w:tc>
          <w:tcPr>
            <w:tcW w:w="1392" w:type="dxa"/>
            <w:shd w:val="clear" w:color="auto" w:fill="auto"/>
          </w:tcPr>
          <w:p w14:paraId="35C03D24"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7.1</w:t>
            </w:r>
          </w:p>
        </w:tc>
        <w:tc>
          <w:tcPr>
            <w:tcW w:w="1469" w:type="dxa"/>
            <w:shd w:val="clear" w:color="auto" w:fill="auto"/>
          </w:tcPr>
          <w:p w14:paraId="2AF651F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14.1</w:t>
            </w:r>
          </w:p>
        </w:tc>
      </w:tr>
      <w:tr w:rsidR="00014433" w:rsidRPr="00FB76B7" w14:paraId="0E106488" w14:textId="77777777" w:rsidTr="00014433">
        <w:trPr>
          <w:cantSplit/>
        </w:trPr>
        <w:tc>
          <w:tcPr>
            <w:tcW w:w="734" w:type="dxa"/>
            <w:vMerge/>
            <w:shd w:val="clear" w:color="auto" w:fill="auto"/>
          </w:tcPr>
          <w:p w14:paraId="64C2716B"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12860FC8"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Occasionally (Every 4-6 Months)</w:t>
            </w:r>
          </w:p>
        </w:tc>
        <w:tc>
          <w:tcPr>
            <w:tcW w:w="1162" w:type="dxa"/>
            <w:shd w:val="clear" w:color="auto" w:fill="auto"/>
          </w:tcPr>
          <w:p w14:paraId="3C183370"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24</w:t>
            </w:r>
          </w:p>
        </w:tc>
        <w:tc>
          <w:tcPr>
            <w:tcW w:w="1024" w:type="dxa"/>
            <w:shd w:val="clear" w:color="auto" w:fill="auto"/>
          </w:tcPr>
          <w:p w14:paraId="077A29F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15.4</w:t>
            </w:r>
          </w:p>
        </w:tc>
        <w:tc>
          <w:tcPr>
            <w:tcW w:w="1392" w:type="dxa"/>
            <w:shd w:val="clear" w:color="auto" w:fill="auto"/>
          </w:tcPr>
          <w:p w14:paraId="74A930F0"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15.4</w:t>
            </w:r>
          </w:p>
        </w:tc>
        <w:tc>
          <w:tcPr>
            <w:tcW w:w="1469" w:type="dxa"/>
            <w:shd w:val="clear" w:color="auto" w:fill="auto"/>
          </w:tcPr>
          <w:p w14:paraId="19C74E3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29.5</w:t>
            </w:r>
          </w:p>
        </w:tc>
      </w:tr>
      <w:tr w:rsidR="00014433" w:rsidRPr="00FB76B7" w14:paraId="42953B2B" w14:textId="77777777" w:rsidTr="00014433">
        <w:trPr>
          <w:cantSplit/>
        </w:trPr>
        <w:tc>
          <w:tcPr>
            <w:tcW w:w="734" w:type="dxa"/>
            <w:vMerge/>
            <w:shd w:val="clear" w:color="auto" w:fill="auto"/>
          </w:tcPr>
          <w:p w14:paraId="25ED7300"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21618651"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Frequently (Every 2-3 months)</w:t>
            </w:r>
          </w:p>
        </w:tc>
        <w:tc>
          <w:tcPr>
            <w:tcW w:w="1162" w:type="dxa"/>
            <w:shd w:val="clear" w:color="auto" w:fill="auto"/>
          </w:tcPr>
          <w:p w14:paraId="356A978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50</w:t>
            </w:r>
          </w:p>
        </w:tc>
        <w:tc>
          <w:tcPr>
            <w:tcW w:w="1024" w:type="dxa"/>
            <w:shd w:val="clear" w:color="auto" w:fill="auto"/>
          </w:tcPr>
          <w:p w14:paraId="5545236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32.1</w:t>
            </w:r>
          </w:p>
        </w:tc>
        <w:tc>
          <w:tcPr>
            <w:tcW w:w="1392" w:type="dxa"/>
            <w:shd w:val="clear" w:color="auto" w:fill="auto"/>
          </w:tcPr>
          <w:p w14:paraId="586B7005"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32.1</w:t>
            </w:r>
          </w:p>
        </w:tc>
        <w:tc>
          <w:tcPr>
            <w:tcW w:w="1469" w:type="dxa"/>
            <w:shd w:val="clear" w:color="auto" w:fill="auto"/>
          </w:tcPr>
          <w:p w14:paraId="2CB54E9A"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61.5</w:t>
            </w:r>
          </w:p>
        </w:tc>
      </w:tr>
      <w:tr w:rsidR="00014433" w:rsidRPr="00FB76B7" w14:paraId="4AD0C47A" w14:textId="77777777" w:rsidTr="00014433">
        <w:trPr>
          <w:cantSplit/>
        </w:trPr>
        <w:tc>
          <w:tcPr>
            <w:tcW w:w="734" w:type="dxa"/>
            <w:vMerge/>
            <w:shd w:val="clear" w:color="auto" w:fill="auto"/>
          </w:tcPr>
          <w:p w14:paraId="720BB690"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46679944"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Frequently (Monthly)</w:t>
            </w:r>
          </w:p>
        </w:tc>
        <w:tc>
          <w:tcPr>
            <w:tcW w:w="1162" w:type="dxa"/>
            <w:shd w:val="clear" w:color="auto" w:fill="auto"/>
          </w:tcPr>
          <w:p w14:paraId="0F6F8F5C"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60</w:t>
            </w:r>
          </w:p>
        </w:tc>
        <w:tc>
          <w:tcPr>
            <w:tcW w:w="1024" w:type="dxa"/>
            <w:shd w:val="clear" w:color="auto" w:fill="auto"/>
          </w:tcPr>
          <w:p w14:paraId="45DB851A"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38.5</w:t>
            </w:r>
          </w:p>
        </w:tc>
        <w:tc>
          <w:tcPr>
            <w:tcW w:w="1392" w:type="dxa"/>
            <w:shd w:val="clear" w:color="auto" w:fill="auto"/>
          </w:tcPr>
          <w:p w14:paraId="118E17A1"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38.5</w:t>
            </w:r>
          </w:p>
        </w:tc>
        <w:tc>
          <w:tcPr>
            <w:tcW w:w="1469" w:type="dxa"/>
            <w:shd w:val="clear" w:color="auto" w:fill="auto"/>
          </w:tcPr>
          <w:p w14:paraId="132D4585"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014433" w:rsidRPr="00FB76B7" w14:paraId="7F2EE6E8" w14:textId="77777777" w:rsidTr="00014433">
        <w:trPr>
          <w:cantSplit/>
        </w:trPr>
        <w:tc>
          <w:tcPr>
            <w:tcW w:w="734" w:type="dxa"/>
            <w:vMerge/>
            <w:shd w:val="clear" w:color="auto" w:fill="auto"/>
          </w:tcPr>
          <w:p w14:paraId="460E48E6"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448" w:type="dxa"/>
            <w:tcBorders>
              <w:bottom w:val="single" w:sz="4" w:space="0" w:color="auto"/>
            </w:tcBorders>
            <w:shd w:val="clear" w:color="auto" w:fill="auto"/>
          </w:tcPr>
          <w:p w14:paraId="2D0F6B75"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tcBorders>
              <w:bottom w:val="single" w:sz="4" w:space="0" w:color="auto"/>
            </w:tcBorders>
            <w:shd w:val="clear" w:color="auto" w:fill="auto"/>
          </w:tcPr>
          <w:p w14:paraId="439A416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tcBorders>
              <w:bottom w:val="single" w:sz="4" w:space="0" w:color="auto"/>
            </w:tcBorders>
            <w:shd w:val="clear" w:color="auto" w:fill="auto"/>
          </w:tcPr>
          <w:p w14:paraId="0FCC7E84"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2" w:type="dxa"/>
            <w:tcBorders>
              <w:bottom w:val="single" w:sz="4" w:space="0" w:color="auto"/>
            </w:tcBorders>
            <w:shd w:val="clear" w:color="auto" w:fill="auto"/>
          </w:tcPr>
          <w:p w14:paraId="331E3CDC"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tcBorders>
              <w:bottom w:val="single" w:sz="4" w:space="0" w:color="auto"/>
            </w:tcBorders>
            <w:shd w:val="clear" w:color="auto" w:fill="auto"/>
            <w:vAlign w:val="center"/>
          </w:tcPr>
          <w:p w14:paraId="2A119286" w14:textId="77777777" w:rsidR="00014433" w:rsidRPr="00FB76B7" w:rsidRDefault="00014433" w:rsidP="007B1BDB">
            <w:pPr>
              <w:autoSpaceDE w:val="0"/>
              <w:autoSpaceDN w:val="0"/>
              <w:adjustRightInd w:val="0"/>
              <w:spacing w:after="0" w:line="360" w:lineRule="auto"/>
              <w:jc w:val="left"/>
              <w:rPr>
                <w:rFonts w:cs="Times New Roman"/>
                <w:szCs w:val="24"/>
              </w:rPr>
            </w:pPr>
          </w:p>
        </w:tc>
      </w:tr>
    </w:tbl>
    <w:p w14:paraId="119B245C" w14:textId="1CF6DB20" w:rsidR="002E06C7" w:rsidRDefault="002E06C7" w:rsidP="007B1BDB">
      <w:pPr>
        <w:spacing w:before="240" w:line="360" w:lineRule="auto"/>
      </w:pPr>
      <w:r>
        <w:t xml:space="preserve">       Fig-4.8: Time duration of receiving remittance </w:t>
      </w:r>
    </w:p>
    <w:p w14:paraId="18403115" w14:textId="28990680" w:rsidR="00014433" w:rsidRDefault="00014433" w:rsidP="007B1BDB">
      <w:pPr>
        <w:spacing w:before="240" w:line="360" w:lineRule="auto"/>
      </w:pPr>
      <w:r w:rsidRPr="00014433">
        <w:t>The data on the frequency of receiving remittance reveals distinct patterns among the respondents. Out of 156 surveyed, the most common frequency is receiving remittance very frequently, with 60 respondents (38.5%) receiving it monthly. Following closely, 50 respondents (32.1%) receive remittance frequently, every 2-3 months. Another 24 respondents (15.4%) receive remittance occasionally, every 4-6 months, while 11 respondents (7.1%) receive it rarely, annually. Additionally, 11 respondents (7.1%) indicated other, unspecified frequencies. This distribution shows that a significant portion of households receive remittance regularly, underscoring its consistent role in supporting household finances. The cumulative percentages reflect a comprehensive view of how often remittance is received among the surveyed households, emphasizing the frequency's impact on economic stability and planning.</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014433" w:rsidRPr="00FB76B7" w14:paraId="6C4A5A4D" w14:textId="77777777" w:rsidTr="00014433">
        <w:trPr>
          <w:cantSplit/>
        </w:trPr>
        <w:tc>
          <w:tcPr>
            <w:tcW w:w="8229" w:type="dxa"/>
            <w:gridSpan w:val="6"/>
            <w:tcBorders>
              <w:top w:val="nil"/>
              <w:left w:val="nil"/>
              <w:bottom w:val="nil"/>
              <w:right w:val="nil"/>
            </w:tcBorders>
            <w:shd w:val="clear" w:color="auto" w:fill="auto"/>
            <w:vAlign w:val="center"/>
          </w:tcPr>
          <w:p w14:paraId="4D37AF3B" w14:textId="77777777" w:rsidR="00014433" w:rsidRPr="00FB76B7" w:rsidRDefault="00014433" w:rsidP="007B1BDB">
            <w:pPr>
              <w:spacing w:line="360" w:lineRule="auto"/>
              <w:jc w:val="center"/>
            </w:pPr>
            <w:r w:rsidRPr="00FB76B7">
              <w:t>What is the average amount of remittance received per year?</w:t>
            </w:r>
          </w:p>
        </w:tc>
      </w:tr>
      <w:tr w:rsidR="00014433" w:rsidRPr="00FB76B7" w14:paraId="340B90B2" w14:textId="77777777" w:rsidTr="00014433">
        <w:trPr>
          <w:cantSplit/>
        </w:trPr>
        <w:tc>
          <w:tcPr>
            <w:tcW w:w="3182" w:type="dxa"/>
            <w:gridSpan w:val="2"/>
            <w:tcBorders>
              <w:top w:val="nil"/>
              <w:left w:val="nil"/>
              <w:bottom w:val="single" w:sz="8" w:space="0" w:color="152935"/>
              <w:right w:val="nil"/>
            </w:tcBorders>
            <w:shd w:val="clear" w:color="auto" w:fill="auto"/>
            <w:vAlign w:val="bottom"/>
          </w:tcPr>
          <w:p w14:paraId="7B771D14" w14:textId="77777777" w:rsidR="00014433" w:rsidRPr="00FB76B7" w:rsidRDefault="00014433" w:rsidP="007B1BDB">
            <w:pPr>
              <w:autoSpaceDE w:val="0"/>
              <w:autoSpaceDN w:val="0"/>
              <w:adjustRightInd w:val="0"/>
              <w:spacing w:after="0" w:line="360" w:lineRule="auto"/>
              <w:jc w:val="left"/>
              <w:rPr>
                <w:rFonts w:cs="Times New Roman"/>
                <w:szCs w:val="24"/>
              </w:rPr>
            </w:pPr>
          </w:p>
        </w:tc>
        <w:tc>
          <w:tcPr>
            <w:tcW w:w="1162" w:type="dxa"/>
            <w:tcBorders>
              <w:top w:val="nil"/>
              <w:left w:val="nil"/>
              <w:bottom w:val="single" w:sz="8" w:space="0" w:color="152935"/>
              <w:right w:val="single" w:sz="8" w:space="0" w:color="E0E0E0"/>
            </w:tcBorders>
            <w:shd w:val="clear" w:color="auto" w:fill="auto"/>
            <w:vAlign w:val="bottom"/>
          </w:tcPr>
          <w:p w14:paraId="23A371B1"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auto"/>
            <w:vAlign w:val="bottom"/>
          </w:tcPr>
          <w:p w14:paraId="504D5CA8"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auto"/>
            <w:vAlign w:val="bottom"/>
          </w:tcPr>
          <w:p w14:paraId="42E86C34"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nil"/>
              <w:left w:val="single" w:sz="8" w:space="0" w:color="E0E0E0"/>
              <w:bottom w:val="single" w:sz="8" w:space="0" w:color="152935"/>
              <w:right w:val="nil"/>
            </w:tcBorders>
            <w:shd w:val="clear" w:color="auto" w:fill="auto"/>
            <w:vAlign w:val="bottom"/>
          </w:tcPr>
          <w:p w14:paraId="698BD231" w14:textId="77777777" w:rsidR="00014433" w:rsidRPr="00FB76B7" w:rsidRDefault="00014433"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014433" w:rsidRPr="00FB76B7" w14:paraId="243DBD41" w14:textId="77777777" w:rsidTr="00014433">
        <w:trPr>
          <w:cantSplit/>
        </w:trPr>
        <w:tc>
          <w:tcPr>
            <w:tcW w:w="734" w:type="dxa"/>
            <w:vMerge w:val="restart"/>
            <w:tcBorders>
              <w:top w:val="single" w:sz="8" w:space="0" w:color="152935"/>
              <w:left w:val="nil"/>
              <w:bottom w:val="single" w:sz="8" w:space="0" w:color="152935"/>
              <w:right w:val="nil"/>
            </w:tcBorders>
            <w:shd w:val="clear" w:color="auto" w:fill="auto"/>
          </w:tcPr>
          <w:p w14:paraId="3ABACFE9" w14:textId="394389F3"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8" w:space="0" w:color="152935"/>
              <w:left w:val="nil"/>
              <w:bottom w:val="single" w:sz="8" w:space="0" w:color="AEAEAE"/>
              <w:right w:val="nil"/>
            </w:tcBorders>
            <w:shd w:val="clear" w:color="auto" w:fill="auto"/>
          </w:tcPr>
          <w:p w14:paraId="2BC6EFEB"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low (Below NPR 50,000)</w:t>
            </w:r>
          </w:p>
        </w:tc>
        <w:tc>
          <w:tcPr>
            <w:tcW w:w="1162" w:type="dxa"/>
            <w:tcBorders>
              <w:top w:val="single" w:sz="8" w:space="0" w:color="152935"/>
              <w:left w:val="nil"/>
              <w:bottom w:val="single" w:sz="8" w:space="0" w:color="AEAEAE"/>
              <w:right w:val="single" w:sz="8" w:space="0" w:color="E0E0E0"/>
            </w:tcBorders>
            <w:shd w:val="clear" w:color="auto" w:fill="auto"/>
          </w:tcPr>
          <w:p w14:paraId="09EECEC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auto"/>
          </w:tcPr>
          <w:p w14:paraId="297FA24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18.6</w:t>
            </w:r>
          </w:p>
        </w:tc>
        <w:tc>
          <w:tcPr>
            <w:tcW w:w="1392" w:type="dxa"/>
            <w:tcBorders>
              <w:top w:val="single" w:sz="8" w:space="0" w:color="152935"/>
              <w:left w:val="single" w:sz="8" w:space="0" w:color="E0E0E0"/>
              <w:bottom w:val="single" w:sz="8" w:space="0" w:color="AEAEAE"/>
              <w:right w:val="single" w:sz="8" w:space="0" w:color="E0E0E0"/>
            </w:tcBorders>
            <w:shd w:val="clear" w:color="auto" w:fill="auto"/>
          </w:tcPr>
          <w:p w14:paraId="20814C8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18.6</w:t>
            </w:r>
          </w:p>
        </w:tc>
        <w:tc>
          <w:tcPr>
            <w:tcW w:w="1469" w:type="dxa"/>
            <w:tcBorders>
              <w:top w:val="single" w:sz="8" w:space="0" w:color="152935"/>
              <w:left w:val="single" w:sz="8" w:space="0" w:color="E0E0E0"/>
              <w:bottom w:val="single" w:sz="8" w:space="0" w:color="AEAEAE"/>
              <w:right w:val="nil"/>
            </w:tcBorders>
            <w:shd w:val="clear" w:color="auto" w:fill="auto"/>
          </w:tcPr>
          <w:p w14:paraId="1B6246AB"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18.6</w:t>
            </w:r>
          </w:p>
        </w:tc>
      </w:tr>
      <w:tr w:rsidR="00014433" w:rsidRPr="00FB76B7" w14:paraId="3452EFC9" w14:textId="77777777" w:rsidTr="00014433">
        <w:trPr>
          <w:cantSplit/>
        </w:trPr>
        <w:tc>
          <w:tcPr>
            <w:tcW w:w="734" w:type="dxa"/>
            <w:vMerge/>
            <w:tcBorders>
              <w:top w:val="single" w:sz="8" w:space="0" w:color="152935"/>
              <w:left w:val="nil"/>
              <w:bottom w:val="single" w:sz="8" w:space="0" w:color="152935"/>
              <w:right w:val="nil"/>
            </w:tcBorders>
            <w:shd w:val="clear" w:color="auto" w:fill="auto"/>
          </w:tcPr>
          <w:p w14:paraId="6F9223C1"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54728558"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Moderate (NPR 100,000 - 200,000)</w:t>
            </w:r>
          </w:p>
        </w:tc>
        <w:tc>
          <w:tcPr>
            <w:tcW w:w="1162" w:type="dxa"/>
            <w:tcBorders>
              <w:top w:val="single" w:sz="8" w:space="0" w:color="AEAEAE"/>
              <w:left w:val="nil"/>
              <w:bottom w:val="single" w:sz="8" w:space="0" w:color="AEAEAE"/>
              <w:right w:val="single" w:sz="8" w:space="0" w:color="E0E0E0"/>
            </w:tcBorders>
            <w:shd w:val="clear" w:color="auto" w:fill="auto"/>
          </w:tcPr>
          <w:p w14:paraId="48725FE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66D6001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14.1</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3ACDCCF8"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14.1</w:t>
            </w:r>
          </w:p>
        </w:tc>
        <w:tc>
          <w:tcPr>
            <w:tcW w:w="1469" w:type="dxa"/>
            <w:tcBorders>
              <w:top w:val="single" w:sz="8" w:space="0" w:color="AEAEAE"/>
              <w:left w:val="single" w:sz="8" w:space="0" w:color="E0E0E0"/>
              <w:bottom w:val="single" w:sz="8" w:space="0" w:color="AEAEAE"/>
              <w:right w:val="nil"/>
            </w:tcBorders>
            <w:shd w:val="clear" w:color="auto" w:fill="auto"/>
          </w:tcPr>
          <w:p w14:paraId="043D076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32.7</w:t>
            </w:r>
          </w:p>
        </w:tc>
      </w:tr>
      <w:tr w:rsidR="00014433" w:rsidRPr="00FB76B7" w14:paraId="21C8216B" w14:textId="77777777" w:rsidTr="00014433">
        <w:trPr>
          <w:cantSplit/>
        </w:trPr>
        <w:tc>
          <w:tcPr>
            <w:tcW w:w="734" w:type="dxa"/>
            <w:vMerge/>
            <w:tcBorders>
              <w:top w:val="single" w:sz="8" w:space="0" w:color="152935"/>
              <w:left w:val="nil"/>
              <w:bottom w:val="single" w:sz="8" w:space="0" w:color="152935"/>
              <w:right w:val="nil"/>
            </w:tcBorders>
            <w:shd w:val="clear" w:color="auto" w:fill="auto"/>
          </w:tcPr>
          <w:p w14:paraId="6CC5D047"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7BD420F6"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High (NPR 200,000 - 300,000)</w:t>
            </w:r>
          </w:p>
        </w:tc>
        <w:tc>
          <w:tcPr>
            <w:tcW w:w="1162" w:type="dxa"/>
            <w:tcBorders>
              <w:top w:val="single" w:sz="8" w:space="0" w:color="AEAEAE"/>
              <w:left w:val="nil"/>
              <w:bottom w:val="single" w:sz="8" w:space="0" w:color="AEAEAE"/>
              <w:right w:val="single" w:sz="8" w:space="0" w:color="E0E0E0"/>
            </w:tcBorders>
            <w:shd w:val="clear" w:color="auto" w:fill="auto"/>
          </w:tcPr>
          <w:p w14:paraId="1401703C"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163B72CF"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19.2</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01B02DD8"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19.2</w:t>
            </w:r>
          </w:p>
        </w:tc>
        <w:tc>
          <w:tcPr>
            <w:tcW w:w="1469" w:type="dxa"/>
            <w:tcBorders>
              <w:top w:val="single" w:sz="8" w:space="0" w:color="AEAEAE"/>
              <w:left w:val="single" w:sz="8" w:space="0" w:color="E0E0E0"/>
              <w:bottom w:val="single" w:sz="8" w:space="0" w:color="AEAEAE"/>
              <w:right w:val="nil"/>
            </w:tcBorders>
            <w:shd w:val="clear" w:color="auto" w:fill="auto"/>
          </w:tcPr>
          <w:p w14:paraId="5EDB6540"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51.9</w:t>
            </w:r>
          </w:p>
        </w:tc>
      </w:tr>
      <w:tr w:rsidR="00014433" w:rsidRPr="00FB76B7" w14:paraId="12B56D68" w14:textId="77777777" w:rsidTr="00014433">
        <w:trPr>
          <w:cantSplit/>
        </w:trPr>
        <w:tc>
          <w:tcPr>
            <w:tcW w:w="734" w:type="dxa"/>
            <w:vMerge/>
            <w:tcBorders>
              <w:top w:val="single" w:sz="8" w:space="0" w:color="152935"/>
              <w:left w:val="nil"/>
              <w:bottom w:val="single" w:sz="8" w:space="0" w:color="152935"/>
              <w:right w:val="nil"/>
            </w:tcBorders>
            <w:shd w:val="clear" w:color="auto" w:fill="auto"/>
          </w:tcPr>
          <w:p w14:paraId="15B6D632"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22440B37"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high (Above NPR 300,000)</w:t>
            </w:r>
          </w:p>
        </w:tc>
        <w:tc>
          <w:tcPr>
            <w:tcW w:w="1162" w:type="dxa"/>
            <w:tcBorders>
              <w:top w:val="single" w:sz="8" w:space="0" w:color="AEAEAE"/>
              <w:left w:val="nil"/>
              <w:bottom w:val="single" w:sz="8" w:space="0" w:color="AEAEAE"/>
              <w:right w:val="single" w:sz="8" w:space="0" w:color="E0E0E0"/>
            </w:tcBorders>
            <w:shd w:val="clear" w:color="auto" w:fill="auto"/>
          </w:tcPr>
          <w:p w14:paraId="276F08A9"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75</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69AC0067"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48.1</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0698546D"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48.1</w:t>
            </w:r>
          </w:p>
        </w:tc>
        <w:tc>
          <w:tcPr>
            <w:tcW w:w="1469" w:type="dxa"/>
            <w:tcBorders>
              <w:top w:val="single" w:sz="8" w:space="0" w:color="AEAEAE"/>
              <w:left w:val="single" w:sz="8" w:space="0" w:color="E0E0E0"/>
              <w:bottom w:val="single" w:sz="8" w:space="0" w:color="AEAEAE"/>
              <w:right w:val="nil"/>
            </w:tcBorders>
            <w:shd w:val="clear" w:color="auto" w:fill="auto"/>
          </w:tcPr>
          <w:p w14:paraId="1CEB8762"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014433" w:rsidRPr="00FB76B7" w14:paraId="56CA2085" w14:textId="77777777" w:rsidTr="00014433">
        <w:trPr>
          <w:cantSplit/>
        </w:trPr>
        <w:tc>
          <w:tcPr>
            <w:tcW w:w="734" w:type="dxa"/>
            <w:vMerge/>
            <w:tcBorders>
              <w:top w:val="single" w:sz="8" w:space="0" w:color="152935"/>
              <w:left w:val="nil"/>
              <w:bottom w:val="single" w:sz="8" w:space="0" w:color="152935"/>
              <w:right w:val="nil"/>
            </w:tcBorders>
            <w:shd w:val="clear" w:color="auto" w:fill="auto"/>
          </w:tcPr>
          <w:p w14:paraId="5532E81A" w14:textId="77777777" w:rsidR="00014433" w:rsidRPr="00FB76B7" w:rsidRDefault="00014433"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152935"/>
              <w:right w:val="nil"/>
            </w:tcBorders>
            <w:shd w:val="clear" w:color="auto" w:fill="auto"/>
          </w:tcPr>
          <w:p w14:paraId="1CFF0590" w14:textId="77777777" w:rsidR="00014433" w:rsidRPr="00FB76B7" w:rsidRDefault="00014433"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tcBorders>
              <w:top w:val="single" w:sz="8" w:space="0" w:color="AEAEAE"/>
              <w:left w:val="nil"/>
              <w:bottom w:val="single" w:sz="8" w:space="0" w:color="152935"/>
              <w:right w:val="single" w:sz="8" w:space="0" w:color="E0E0E0"/>
            </w:tcBorders>
            <w:shd w:val="clear" w:color="auto" w:fill="auto"/>
          </w:tcPr>
          <w:p w14:paraId="7E85302A"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tcBorders>
              <w:top w:val="single" w:sz="8" w:space="0" w:color="AEAEAE"/>
              <w:left w:val="single" w:sz="8" w:space="0" w:color="E0E0E0"/>
              <w:bottom w:val="single" w:sz="8" w:space="0" w:color="152935"/>
              <w:right w:val="single" w:sz="8" w:space="0" w:color="E0E0E0"/>
            </w:tcBorders>
            <w:shd w:val="clear" w:color="auto" w:fill="auto"/>
          </w:tcPr>
          <w:p w14:paraId="5695A6B4"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auto"/>
          </w:tcPr>
          <w:p w14:paraId="46293383" w14:textId="77777777" w:rsidR="00014433" w:rsidRPr="00FB76B7" w:rsidRDefault="00014433"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tcBorders>
              <w:top w:val="single" w:sz="8" w:space="0" w:color="AEAEAE"/>
              <w:left w:val="single" w:sz="8" w:space="0" w:color="E0E0E0"/>
              <w:bottom w:val="single" w:sz="8" w:space="0" w:color="152935"/>
              <w:right w:val="nil"/>
            </w:tcBorders>
            <w:shd w:val="clear" w:color="auto" w:fill="auto"/>
            <w:vAlign w:val="center"/>
          </w:tcPr>
          <w:p w14:paraId="35AA068D" w14:textId="77777777" w:rsidR="00014433" w:rsidRPr="00FB76B7" w:rsidRDefault="00014433" w:rsidP="007B1BDB">
            <w:pPr>
              <w:autoSpaceDE w:val="0"/>
              <w:autoSpaceDN w:val="0"/>
              <w:adjustRightInd w:val="0"/>
              <w:spacing w:after="0" w:line="360" w:lineRule="auto"/>
              <w:jc w:val="left"/>
              <w:rPr>
                <w:rFonts w:cs="Times New Roman"/>
                <w:szCs w:val="24"/>
              </w:rPr>
            </w:pPr>
          </w:p>
        </w:tc>
      </w:tr>
    </w:tbl>
    <w:p w14:paraId="184F3E61" w14:textId="19B9351C" w:rsidR="00EA6DF5" w:rsidRDefault="00EA6DF5" w:rsidP="007B1BDB">
      <w:pPr>
        <w:spacing w:before="100" w:beforeAutospacing="1" w:after="100" w:afterAutospacing="1" w:line="360" w:lineRule="auto"/>
        <w:jc w:val="left"/>
        <w:rPr>
          <w:rFonts w:eastAsia="Times New Roman" w:cs="Times New Roman"/>
          <w:color w:val="auto"/>
          <w:szCs w:val="24"/>
        </w:rPr>
      </w:pPr>
      <w:r>
        <w:rPr>
          <w:rFonts w:eastAsia="Times New Roman" w:cs="Times New Roman"/>
          <w:color w:val="auto"/>
          <w:szCs w:val="24"/>
        </w:rPr>
        <w:t xml:space="preserve">         Fig-4.9: Average amount </w:t>
      </w:r>
      <w:r w:rsidRPr="00FB76B7">
        <w:t>of remittance received per year</w:t>
      </w:r>
    </w:p>
    <w:p w14:paraId="5CF9B558" w14:textId="1BD01200" w:rsidR="00014433" w:rsidRPr="00014433" w:rsidRDefault="00014433" w:rsidP="007B1BDB">
      <w:pPr>
        <w:spacing w:before="100" w:beforeAutospacing="1" w:after="100" w:afterAutospacing="1" w:line="360" w:lineRule="auto"/>
        <w:jc w:val="left"/>
        <w:rPr>
          <w:rFonts w:eastAsia="Times New Roman" w:cs="Times New Roman"/>
          <w:color w:val="auto"/>
          <w:szCs w:val="24"/>
        </w:rPr>
      </w:pPr>
      <w:r w:rsidRPr="00014433">
        <w:rPr>
          <w:rFonts w:eastAsia="Times New Roman" w:cs="Times New Roman"/>
          <w:color w:val="auto"/>
          <w:szCs w:val="24"/>
        </w:rPr>
        <w:lastRenderedPageBreak/>
        <w:t>The data on the average amount of remittance received per year shows varying levels among respondents. Out of 156 respondents:</w:t>
      </w:r>
    </w:p>
    <w:p w14:paraId="72AEC9FB" w14:textId="77777777" w:rsidR="00014433" w:rsidRPr="00014433" w:rsidRDefault="00014433" w:rsidP="007B1BDB">
      <w:pPr>
        <w:numPr>
          <w:ilvl w:val="0"/>
          <w:numId w:val="4"/>
        </w:numPr>
        <w:spacing w:before="100" w:beforeAutospacing="1" w:after="100" w:afterAutospacing="1" w:line="360" w:lineRule="auto"/>
        <w:jc w:val="left"/>
        <w:rPr>
          <w:rFonts w:eastAsia="Times New Roman" w:cs="Times New Roman"/>
          <w:color w:val="auto"/>
          <w:szCs w:val="24"/>
        </w:rPr>
      </w:pPr>
      <w:r w:rsidRPr="00014433">
        <w:rPr>
          <w:rFonts w:eastAsia="Times New Roman" w:cs="Times New Roman"/>
          <w:color w:val="auto"/>
          <w:szCs w:val="24"/>
        </w:rPr>
        <w:t>29 respondents (18.6%) receive a very low amount of remittance, below NPR 50,000 annually.</w:t>
      </w:r>
    </w:p>
    <w:p w14:paraId="36879A4B" w14:textId="77777777" w:rsidR="00014433" w:rsidRPr="00014433" w:rsidRDefault="00014433" w:rsidP="007B1BDB">
      <w:pPr>
        <w:numPr>
          <w:ilvl w:val="0"/>
          <w:numId w:val="4"/>
        </w:numPr>
        <w:spacing w:before="100" w:beforeAutospacing="1" w:after="100" w:afterAutospacing="1" w:line="360" w:lineRule="auto"/>
        <w:jc w:val="left"/>
        <w:rPr>
          <w:rFonts w:eastAsia="Times New Roman" w:cs="Times New Roman"/>
          <w:color w:val="auto"/>
          <w:szCs w:val="24"/>
        </w:rPr>
      </w:pPr>
      <w:r w:rsidRPr="00014433">
        <w:rPr>
          <w:rFonts w:eastAsia="Times New Roman" w:cs="Times New Roman"/>
          <w:color w:val="auto"/>
          <w:szCs w:val="24"/>
        </w:rPr>
        <w:t>22 respondents (14.1%) receive a moderate amount, between NPR 100,000 and 200,000 per year.</w:t>
      </w:r>
    </w:p>
    <w:p w14:paraId="0B370FAF" w14:textId="77777777" w:rsidR="00014433" w:rsidRPr="00014433" w:rsidRDefault="00014433" w:rsidP="007B1BDB">
      <w:pPr>
        <w:numPr>
          <w:ilvl w:val="0"/>
          <w:numId w:val="4"/>
        </w:numPr>
        <w:spacing w:before="100" w:beforeAutospacing="1" w:after="100" w:afterAutospacing="1" w:line="360" w:lineRule="auto"/>
        <w:jc w:val="left"/>
        <w:rPr>
          <w:rFonts w:eastAsia="Times New Roman" w:cs="Times New Roman"/>
          <w:color w:val="auto"/>
          <w:szCs w:val="24"/>
        </w:rPr>
      </w:pPr>
      <w:r w:rsidRPr="00014433">
        <w:rPr>
          <w:rFonts w:eastAsia="Times New Roman" w:cs="Times New Roman"/>
          <w:color w:val="auto"/>
          <w:szCs w:val="24"/>
        </w:rPr>
        <w:t>30 respondents (19.2%) receive a high amount, ranging from NPR 200,000 to 300,000 annually.</w:t>
      </w:r>
    </w:p>
    <w:p w14:paraId="5A615748" w14:textId="77777777" w:rsidR="00014433" w:rsidRPr="00014433" w:rsidRDefault="00014433" w:rsidP="007B1BDB">
      <w:pPr>
        <w:numPr>
          <w:ilvl w:val="0"/>
          <w:numId w:val="4"/>
        </w:numPr>
        <w:spacing w:before="100" w:beforeAutospacing="1" w:after="100" w:afterAutospacing="1" w:line="360" w:lineRule="auto"/>
        <w:jc w:val="left"/>
        <w:rPr>
          <w:rFonts w:eastAsia="Times New Roman" w:cs="Times New Roman"/>
          <w:color w:val="auto"/>
          <w:szCs w:val="24"/>
        </w:rPr>
      </w:pPr>
      <w:r w:rsidRPr="00014433">
        <w:rPr>
          <w:rFonts w:eastAsia="Times New Roman" w:cs="Times New Roman"/>
          <w:color w:val="auto"/>
          <w:szCs w:val="24"/>
        </w:rPr>
        <w:t>The largest group, 75 respondents (48.1%), receive a very high amount of remittance, above NPR 300,000 per year.</w:t>
      </w:r>
    </w:p>
    <w:p w14:paraId="635E5386" w14:textId="77777777" w:rsidR="00014433" w:rsidRPr="00014433" w:rsidRDefault="00014433" w:rsidP="007B1BDB">
      <w:pPr>
        <w:spacing w:before="100" w:beforeAutospacing="1" w:after="100" w:afterAutospacing="1" w:line="360" w:lineRule="auto"/>
        <w:rPr>
          <w:rFonts w:eastAsia="Times New Roman" w:cs="Times New Roman"/>
          <w:color w:val="auto"/>
          <w:szCs w:val="24"/>
        </w:rPr>
      </w:pPr>
      <w:r w:rsidRPr="00014433">
        <w:rPr>
          <w:rFonts w:eastAsia="Times New Roman" w:cs="Times New Roman"/>
          <w:color w:val="auto"/>
          <w:szCs w:val="24"/>
        </w:rPr>
        <w:t>This distribution highlights that a significant portion of households receive substantial amounts of remittance annually, with nearly half receiving amounts above NPR 300,000. This reflects the importance of remittance in contributing to household income and economic stability, particularly in supporting higher expenses and investments. The cumulative percentages provide a comprehensive view of the distribution of remittance amounts among the surveyed households, illustrating the financial impact of remittance on recipient families.</w:t>
      </w:r>
    </w:p>
    <w:tbl>
      <w:tblPr>
        <w:tblW w:w="8229" w:type="dxa"/>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794008" w:rsidRPr="00FB76B7" w14:paraId="53101CC3" w14:textId="77777777" w:rsidTr="00794008">
        <w:trPr>
          <w:cantSplit/>
        </w:trPr>
        <w:tc>
          <w:tcPr>
            <w:tcW w:w="8226" w:type="dxa"/>
            <w:gridSpan w:val="6"/>
            <w:tcBorders>
              <w:top w:val="single" w:sz="4" w:space="0" w:color="auto"/>
              <w:bottom w:val="single" w:sz="4" w:space="0" w:color="auto"/>
            </w:tcBorders>
            <w:shd w:val="clear" w:color="auto" w:fill="auto"/>
            <w:vAlign w:val="center"/>
          </w:tcPr>
          <w:p w14:paraId="3CCB01C8" w14:textId="77777777" w:rsidR="00794008" w:rsidRPr="00FB76B7" w:rsidRDefault="00794008" w:rsidP="007B1BDB">
            <w:pPr>
              <w:spacing w:line="360" w:lineRule="auto"/>
              <w:jc w:val="center"/>
            </w:pPr>
            <w:r w:rsidRPr="00FB76B7">
              <w:t>How much of the remittance is spent on basic needs (food, clothing, shelter)?</w:t>
            </w:r>
          </w:p>
        </w:tc>
      </w:tr>
      <w:tr w:rsidR="00794008" w:rsidRPr="00FB76B7" w14:paraId="1DB914E8" w14:textId="77777777" w:rsidTr="00794008">
        <w:trPr>
          <w:cantSplit/>
        </w:trPr>
        <w:tc>
          <w:tcPr>
            <w:tcW w:w="3181" w:type="dxa"/>
            <w:gridSpan w:val="2"/>
            <w:tcBorders>
              <w:top w:val="single" w:sz="4" w:space="0" w:color="auto"/>
              <w:bottom w:val="single" w:sz="4" w:space="0" w:color="auto"/>
            </w:tcBorders>
            <w:shd w:val="clear" w:color="auto" w:fill="auto"/>
            <w:vAlign w:val="bottom"/>
          </w:tcPr>
          <w:p w14:paraId="2C2C4D24" w14:textId="77777777" w:rsidR="00794008" w:rsidRPr="00FB76B7" w:rsidRDefault="00794008"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3A9831EC"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7BC00E63"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1" w:type="dxa"/>
            <w:tcBorders>
              <w:top w:val="single" w:sz="4" w:space="0" w:color="auto"/>
              <w:bottom w:val="single" w:sz="4" w:space="0" w:color="auto"/>
            </w:tcBorders>
            <w:shd w:val="clear" w:color="auto" w:fill="auto"/>
            <w:vAlign w:val="bottom"/>
          </w:tcPr>
          <w:p w14:paraId="11F4DC23"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8" w:type="dxa"/>
            <w:tcBorders>
              <w:top w:val="single" w:sz="4" w:space="0" w:color="auto"/>
              <w:bottom w:val="single" w:sz="4" w:space="0" w:color="auto"/>
            </w:tcBorders>
            <w:shd w:val="clear" w:color="auto" w:fill="auto"/>
            <w:vAlign w:val="bottom"/>
          </w:tcPr>
          <w:p w14:paraId="79ADDB0A"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794008" w:rsidRPr="00FB76B7" w14:paraId="59F475EF" w14:textId="77777777" w:rsidTr="00794008">
        <w:trPr>
          <w:cantSplit/>
        </w:trPr>
        <w:tc>
          <w:tcPr>
            <w:tcW w:w="734" w:type="dxa"/>
            <w:vMerge w:val="restart"/>
            <w:tcBorders>
              <w:top w:val="single" w:sz="4" w:space="0" w:color="auto"/>
            </w:tcBorders>
            <w:shd w:val="clear" w:color="auto" w:fill="auto"/>
          </w:tcPr>
          <w:p w14:paraId="6063CEF0" w14:textId="6F100884"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p>
        </w:tc>
        <w:tc>
          <w:tcPr>
            <w:tcW w:w="2447" w:type="dxa"/>
            <w:tcBorders>
              <w:top w:val="single" w:sz="4" w:space="0" w:color="auto"/>
            </w:tcBorders>
            <w:shd w:val="clear" w:color="auto" w:fill="auto"/>
          </w:tcPr>
          <w:p w14:paraId="7006B20A"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little (Less than 25%)</w:t>
            </w:r>
          </w:p>
        </w:tc>
        <w:tc>
          <w:tcPr>
            <w:tcW w:w="1162" w:type="dxa"/>
            <w:tcBorders>
              <w:top w:val="single" w:sz="4" w:space="0" w:color="auto"/>
            </w:tcBorders>
            <w:shd w:val="clear" w:color="auto" w:fill="auto"/>
          </w:tcPr>
          <w:p w14:paraId="4BE91634"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w:t>
            </w:r>
          </w:p>
        </w:tc>
        <w:tc>
          <w:tcPr>
            <w:tcW w:w="1024" w:type="dxa"/>
            <w:tcBorders>
              <w:top w:val="single" w:sz="4" w:space="0" w:color="auto"/>
            </w:tcBorders>
            <w:shd w:val="clear" w:color="auto" w:fill="auto"/>
          </w:tcPr>
          <w:p w14:paraId="4805AA5F"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23.1</w:t>
            </w:r>
          </w:p>
        </w:tc>
        <w:tc>
          <w:tcPr>
            <w:tcW w:w="1391" w:type="dxa"/>
            <w:tcBorders>
              <w:top w:val="single" w:sz="4" w:space="0" w:color="auto"/>
            </w:tcBorders>
            <w:shd w:val="clear" w:color="auto" w:fill="auto"/>
          </w:tcPr>
          <w:p w14:paraId="1C65E46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23.1</w:t>
            </w:r>
          </w:p>
        </w:tc>
        <w:tc>
          <w:tcPr>
            <w:tcW w:w="1468" w:type="dxa"/>
            <w:tcBorders>
              <w:top w:val="single" w:sz="4" w:space="0" w:color="auto"/>
            </w:tcBorders>
            <w:shd w:val="clear" w:color="auto" w:fill="auto"/>
          </w:tcPr>
          <w:p w14:paraId="0BF8918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23.1</w:t>
            </w:r>
          </w:p>
        </w:tc>
      </w:tr>
      <w:tr w:rsidR="00794008" w:rsidRPr="00FB76B7" w14:paraId="2AE8012A" w14:textId="77777777" w:rsidTr="00794008">
        <w:trPr>
          <w:cantSplit/>
        </w:trPr>
        <w:tc>
          <w:tcPr>
            <w:tcW w:w="734" w:type="dxa"/>
            <w:vMerge/>
            <w:shd w:val="clear" w:color="auto" w:fill="auto"/>
          </w:tcPr>
          <w:p w14:paraId="125D3602"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7" w:type="dxa"/>
            <w:shd w:val="clear" w:color="auto" w:fill="auto"/>
          </w:tcPr>
          <w:p w14:paraId="1CED9896"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Little (25-50%)</w:t>
            </w:r>
          </w:p>
        </w:tc>
        <w:tc>
          <w:tcPr>
            <w:tcW w:w="1162" w:type="dxa"/>
            <w:shd w:val="clear" w:color="auto" w:fill="auto"/>
          </w:tcPr>
          <w:p w14:paraId="62036C4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57</w:t>
            </w:r>
          </w:p>
        </w:tc>
        <w:tc>
          <w:tcPr>
            <w:tcW w:w="1024" w:type="dxa"/>
            <w:shd w:val="clear" w:color="auto" w:fill="auto"/>
          </w:tcPr>
          <w:p w14:paraId="385D21E7"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36.5</w:t>
            </w:r>
          </w:p>
        </w:tc>
        <w:tc>
          <w:tcPr>
            <w:tcW w:w="1391" w:type="dxa"/>
            <w:shd w:val="clear" w:color="auto" w:fill="auto"/>
          </w:tcPr>
          <w:p w14:paraId="67EA7368"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36.5</w:t>
            </w:r>
          </w:p>
        </w:tc>
        <w:tc>
          <w:tcPr>
            <w:tcW w:w="1468" w:type="dxa"/>
            <w:shd w:val="clear" w:color="auto" w:fill="auto"/>
          </w:tcPr>
          <w:p w14:paraId="285A4A7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59.6</w:t>
            </w:r>
          </w:p>
        </w:tc>
      </w:tr>
      <w:tr w:rsidR="00794008" w:rsidRPr="00FB76B7" w14:paraId="634E26D8" w14:textId="77777777" w:rsidTr="00794008">
        <w:trPr>
          <w:cantSplit/>
        </w:trPr>
        <w:tc>
          <w:tcPr>
            <w:tcW w:w="734" w:type="dxa"/>
            <w:vMerge/>
            <w:shd w:val="clear" w:color="auto" w:fill="auto"/>
          </w:tcPr>
          <w:p w14:paraId="21816FBE"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7" w:type="dxa"/>
            <w:shd w:val="clear" w:color="auto" w:fill="auto"/>
          </w:tcPr>
          <w:p w14:paraId="7DA88A6F"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Moderate (51-75%)</w:t>
            </w:r>
          </w:p>
        </w:tc>
        <w:tc>
          <w:tcPr>
            <w:tcW w:w="1162" w:type="dxa"/>
            <w:shd w:val="clear" w:color="auto" w:fill="auto"/>
          </w:tcPr>
          <w:p w14:paraId="45D3D04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41</w:t>
            </w:r>
          </w:p>
        </w:tc>
        <w:tc>
          <w:tcPr>
            <w:tcW w:w="1024" w:type="dxa"/>
            <w:shd w:val="clear" w:color="auto" w:fill="auto"/>
          </w:tcPr>
          <w:p w14:paraId="69EA8C6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26.3</w:t>
            </w:r>
          </w:p>
        </w:tc>
        <w:tc>
          <w:tcPr>
            <w:tcW w:w="1391" w:type="dxa"/>
            <w:shd w:val="clear" w:color="auto" w:fill="auto"/>
          </w:tcPr>
          <w:p w14:paraId="661976B4"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26.3</w:t>
            </w:r>
          </w:p>
        </w:tc>
        <w:tc>
          <w:tcPr>
            <w:tcW w:w="1468" w:type="dxa"/>
            <w:shd w:val="clear" w:color="auto" w:fill="auto"/>
          </w:tcPr>
          <w:p w14:paraId="79EBBA11"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85.9</w:t>
            </w:r>
          </w:p>
        </w:tc>
      </w:tr>
      <w:tr w:rsidR="00794008" w:rsidRPr="00FB76B7" w14:paraId="7623EEAC" w14:textId="77777777" w:rsidTr="00794008">
        <w:trPr>
          <w:cantSplit/>
        </w:trPr>
        <w:tc>
          <w:tcPr>
            <w:tcW w:w="734" w:type="dxa"/>
            <w:vMerge/>
            <w:shd w:val="clear" w:color="auto" w:fill="auto"/>
          </w:tcPr>
          <w:p w14:paraId="4835124C"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7" w:type="dxa"/>
            <w:shd w:val="clear" w:color="auto" w:fill="auto"/>
          </w:tcPr>
          <w:p w14:paraId="370BC1AE"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High (More than 75%)</w:t>
            </w:r>
          </w:p>
        </w:tc>
        <w:tc>
          <w:tcPr>
            <w:tcW w:w="1162" w:type="dxa"/>
            <w:shd w:val="clear" w:color="auto" w:fill="auto"/>
          </w:tcPr>
          <w:p w14:paraId="59120268"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22</w:t>
            </w:r>
          </w:p>
        </w:tc>
        <w:tc>
          <w:tcPr>
            <w:tcW w:w="1024" w:type="dxa"/>
            <w:shd w:val="clear" w:color="auto" w:fill="auto"/>
          </w:tcPr>
          <w:p w14:paraId="22F33396"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14.1</w:t>
            </w:r>
          </w:p>
        </w:tc>
        <w:tc>
          <w:tcPr>
            <w:tcW w:w="1391" w:type="dxa"/>
            <w:shd w:val="clear" w:color="auto" w:fill="auto"/>
          </w:tcPr>
          <w:p w14:paraId="670ED93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14.1</w:t>
            </w:r>
          </w:p>
        </w:tc>
        <w:tc>
          <w:tcPr>
            <w:tcW w:w="1468" w:type="dxa"/>
            <w:shd w:val="clear" w:color="auto" w:fill="auto"/>
          </w:tcPr>
          <w:p w14:paraId="3FB0A12C"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794008" w:rsidRPr="00FB76B7" w14:paraId="2E3CF1C3" w14:textId="77777777" w:rsidTr="00794008">
        <w:trPr>
          <w:cantSplit/>
        </w:trPr>
        <w:tc>
          <w:tcPr>
            <w:tcW w:w="734" w:type="dxa"/>
            <w:vMerge/>
            <w:shd w:val="clear" w:color="auto" w:fill="auto"/>
          </w:tcPr>
          <w:p w14:paraId="5B882695"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7" w:type="dxa"/>
            <w:shd w:val="clear" w:color="auto" w:fill="auto"/>
          </w:tcPr>
          <w:p w14:paraId="113D03C3"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shd w:val="clear" w:color="auto" w:fill="auto"/>
          </w:tcPr>
          <w:p w14:paraId="6CC61D50"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shd w:val="clear" w:color="auto" w:fill="auto"/>
          </w:tcPr>
          <w:p w14:paraId="075F7F3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1" w:type="dxa"/>
            <w:shd w:val="clear" w:color="auto" w:fill="auto"/>
          </w:tcPr>
          <w:p w14:paraId="75A07C9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8" w:type="dxa"/>
            <w:shd w:val="clear" w:color="auto" w:fill="auto"/>
            <w:vAlign w:val="center"/>
          </w:tcPr>
          <w:p w14:paraId="28D92A6A" w14:textId="77777777" w:rsidR="00794008" w:rsidRPr="00FB76B7" w:rsidRDefault="00794008" w:rsidP="007B1BDB">
            <w:pPr>
              <w:autoSpaceDE w:val="0"/>
              <w:autoSpaceDN w:val="0"/>
              <w:adjustRightInd w:val="0"/>
              <w:spacing w:after="0" w:line="360" w:lineRule="auto"/>
              <w:jc w:val="left"/>
              <w:rPr>
                <w:rFonts w:cs="Times New Roman"/>
                <w:szCs w:val="24"/>
              </w:rPr>
            </w:pPr>
          </w:p>
        </w:tc>
      </w:tr>
    </w:tbl>
    <w:p w14:paraId="608B4E3C" w14:textId="32D46F44" w:rsidR="00794008" w:rsidRDefault="00BB1D45" w:rsidP="007B1BDB">
      <w:pPr>
        <w:spacing w:line="360" w:lineRule="auto"/>
        <w:jc w:val="left"/>
      </w:pPr>
      <w:r>
        <w:t xml:space="preserve">          Fig-4.10: Remittance spent on basic needs</w:t>
      </w:r>
    </w:p>
    <w:p w14:paraId="511FD4E8" w14:textId="5896F80A" w:rsidR="00014433" w:rsidRDefault="00794008" w:rsidP="007B1BDB">
      <w:pPr>
        <w:spacing w:line="360" w:lineRule="auto"/>
      </w:pPr>
      <w:r>
        <w:t>D</w:t>
      </w:r>
      <w:r w:rsidR="000019C4">
        <w:t xml:space="preserve">ata reveals varying spending habits among recipients. Of the 156 respondents, 23.1% reported spending very little (less than 25%) of their remittance on basic needs. A larger portion, 36.5%, indicated that a little (25-50%) of the remittance is used for these essentials. Meanwhile, 26.3% of the participants stated that a moderate amount (51-75%) of their remittance goes towards basic needs. Finally, 14.1% of the respondents reported spending a high amount (more than 75%) on food, clothing, and shelter. This </w:t>
      </w:r>
      <w:r w:rsidR="000019C4">
        <w:lastRenderedPageBreak/>
        <w:t>distribution shows that while some families prioritize basic needs with their remittance money, others may allocate funds towards other expenses such as education, healthcare, or savings. Overall, a significant portion of remittance is used to support the fundamental needs of recipients, reflecting its crucial role in enhancing living standards.</w:t>
      </w:r>
    </w:p>
    <w:tbl>
      <w:tblPr>
        <w:tblW w:w="8229" w:type="dxa"/>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794008" w:rsidRPr="00DC3B5B" w14:paraId="6E8CDA30" w14:textId="77777777" w:rsidTr="00794008">
        <w:trPr>
          <w:cantSplit/>
        </w:trPr>
        <w:tc>
          <w:tcPr>
            <w:tcW w:w="8229" w:type="dxa"/>
            <w:gridSpan w:val="6"/>
            <w:tcBorders>
              <w:bottom w:val="single" w:sz="4" w:space="0" w:color="auto"/>
            </w:tcBorders>
            <w:shd w:val="clear" w:color="auto" w:fill="auto"/>
            <w:vAlign w:val="center"/>
          </w:tcPr>
          <w:p w14:paraId="5FC39DE2" w14:textId="77777777" w:rsidR="00794008" w:rsidRPr="00DC3B5B" w:rsidRDefault="00794008" w:rsidP="007B1BDB">
            <w:pPr>
              <w:spacing w:before="240" w:line="360" w:lineRule="auto"/>
              <w:jc w:val="center"/>
            </w:pPr>
            <w:r w:rsidRPr="00DC3B5B">
              <w:t>How much of the remittance is spent on education?</w:t>
            </w:r>
          </w:p>
        </w:tc>
      </w:tr>
      <w:tr w:rsidR="00794008" w:rsidRPr="00FB76B7" w14:paraId="2A7C7B34" w14:textId="77777777" w:rsidTr="00794008">
        <w:trPr>
          <w:cantSplit/>
        </w:trPr>
        <w:tc>
          <w:tcPr>
            <w:tcW w:w="3182" w:type="dxa"/>
            <w:gridSpan w:val="2"/>
            <w:tcBorders>
              <w:top w:val="single" w:sz="4" w:space="0" w:color="auto"/>
              <w:bottom w:val="single" w:sz="4" w:space="0" w:color="auto"/>
            </w:tcBorders>
            <w:shd w:val="clear" w:color="auto" w:fill="auto"/>
            <w:vAlign w:val="bottom"/>
          </w:tcPr>
          <w:p w14:paraId="2C9B63A4" w14:textId="77777777" w:rsidR="00794008" w:rsidRPr="00FB76B7" w:rsidRDefault="00794008" w:rsidP="007B1BDB">
            <w:pPr>
              <w:autoSpaceDE w:val="0"/>
              <w:autoSpaceDN w:val="0"/>
              <w:adjustRightInd w:val="0"/>
              <w:spacing w:before="240"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604A5C53" w14:textId="77777777" w:rsidR="00794008" w:rsidRPr="00FB76B7" w:rsidRDefault="00794008" w:rsidP="007B1BDB">
            <w:pPr>
              <w:autoSpaceDE w:val="0"/>
              <w:autoSpaceDN w:val="0"/>
              <w:adjustRightInd w:val="0"/>
              <w:spacing w:before="240"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1FC4BC83" w14:textId="77777777" w:rsidR="00794008" w:rsidRPr="00FB76B7" w:rsidRDefault="00794008" w:rsidP="007B1BDB">
            <w:pPr>
              <w:autoSpaceDE w:val="0"/>
              <w:autoSpaceDN w:val="0"/>
              <w:adjustRightInd w:val="0"/>
              <w:spacing w:before="240"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5980B7B1" w14:textId="77777777" w:rsidR="00794008" w:rsidRPr="00FB76B7" w:rsidRDefault="00794008" w:rsidP="007B1BDB">
            <w:pPr>
              <w:autoSpaceDE w:val="0"/>
              <w:autoSpaceDN w:val="0"/>
              <w:adjustRightInd w:val="0"/>
              <w:spacing w:before="240"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3A13F3CB" w14:textId="77777777" w:rsidR="00794008" w:rsidRPr="00FB76B7" w:rsidRDefault="00794008" w:rsidP="007B1BDB">
            <w:pPr>
              <w:autoSpaceDE w:val="0"/>
              <w:autoSpaceDN w:val="0"/>
              <w:adjustRightInd w:val="0"/>
              <w:spacing w:before="240"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794008" w:rsidRPr="00FB76B7" w14:paraId="1055498E" w14:textId="77777777" w:rsidTr="00794008">
        <w:trPr>
          <w:cantSplit/>
        </w:trPr>
        <w:tc>
          <w:tcPr>
            <w:tcW w:w="734" w:type="dxa"/>
            <w:vMerge w:val="restart"/>
            <w:tcBorders>
              <w:top w:val="single" w:sz="4" w:space="0" w:color="auto"/>
            </w:tcBorders>
            <w:shd w:val="clear" w:color="auto" w:fill="auto"/>
          </w:tcPr>
          <w:p w14:paraId="048F462C" w14:textId="77777777" w:rsidR="00794008" w:rsidRPr="00FB76B7" w:rsidRDefault="00794008" w:rsidP="007B1BDB">
            <w:pPr>
              <w:autoSpaceDE w:val="0"/>
              <w:autoSpaceDN w:val="0"/>
              <w:adjustRightInd w:val="0"/>
              <w:spacing w:before="240" w:after="0" w:line="360" w:lineRule="auto"/>
              <w:ind w:left="60" w:right="60"/>
              <w:jc w:val="left"/>
              <w:rPr>
                <w:rFonts w:ascii="Arial" w:hAnsi="Arial" w:cs="Arial"/>
                <w:sz w:val="18"/>
                <w:szCs w:val="18"/>
              </w:rPr>
            </w:pPr>
          </w:p>
        </w:tc>
        <w:tc>
          <w:tcPr>
            <w:tcW w:w="2448" w:type="dxa"/>
            <w:tcBorders>
              <w:top w:val="single" w:sz="4" w:space="0" w:color="auto"/>
            </w:tcBorders>
            <w:shd w:val="clear" w:color="auto" w:fill="auto"/>
          </w:tcPr>
          <w:p w14:paraId="0783B604" w14:textId="77777777" w:rsidR="00794008" w:rsidRPr="00FB76B7" w:rsidRDefault="00794008" w:rsidP="007B1BDB">
            <w:pPr>
              <w:autoSpaceDE w:val="0"/>
              <w:autoSpaceDN w:val="0"/>
              <w:adjustRightInd w:val="0"/>
              <w:spacing w:before="240" w:after="0" w:line="360" w:lineRule="auto"/>
              <w:ind w:left="60" w:right="60"/>
              <w:jc w:val="left"/>
              <w:rPr>
                <w:rFonts w:ascii="Arial" w:hAnsi="Arial" w:cs="Arial"/>
                <w:sz w:val="18"/>
                <w:szCs w:val="18"/>
              </w:rPr>
            </w:pPr>
            <w:r w:rsidRPr="00FB76B7">
              <w:rPr>
                <w:rFonts w:ascii="Arial" w:hAnsi="Arial" w:cs="Arial"/>
                <w:sz w:val="18"/>
                <w:szCs w:val="18"/>
              </w:rPr>
              <w:t>Very little (Less than 25%)</w:t>
            </w:r>
          </w:p>
        </w:tc>
        <w:tc>
          <w:tcPr>
            <w:tcW w:w="1162" w:type="dxa"/>
            <w:tcBorders>
              <w:top w:val="single" w:sz="4" w:space="0" w:color="auto"/>
            </w:tcBorders>
            <w:shd w:val="clear" w:color="auto" w:fill="auto"/>
          </w:tcPr>
          <w:p w14:paraId="62EA7B7C"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42</w:t>
            </w:r>
          </w:p>
        </w:tc>
        <w:tc>
          <w:tcPr>
            <w:tcW w:w="1024" w:type="dxa"/>
            <w:tcBorders>
              <w:top w:val="single" w:sz="4" w:space="0" w:color="auto"/>
            </w:tcBorders>
            <w:shd w:val="clear" w:color="auto" w:fill="auto"/>
          </w:tcPr>
          <w:p w14:paraId="5890418D"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26.9</w:t>
            </w:r>
          </w:p>
        </w:tc>
        <w:tc>
          <w:tcPr>
            <w:tcW w:w="1392" w:type="dxa"/>
            <w:tcBorders>
              <w:top w:val="single" w:sz="4" w:space="0" w:color="auto"/>
            </w:tcBorders>
            <w:shd w:val="clear" w:color="auto" w:fill="auto"/>
          </w:tcPr>
          <w:p w14:paraId="312FA194"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26.9</w:t>
            </w:r>
          </w:p>
        </w:tc>
        <w:tc>
          <w:tcPr>
            <w:tcW w:w="1469" w:type="dxa"/>
            <w:tcBorders>
              <w:top w:val="single" w:sz="4" w:space="0" w:color="auto"/>
            </w:tcBorders>
            <w:shd w:val="clear" w:color="auto" w:fill="auto"/>
          </w:tcPr>
          <w:p w14:paraId="0B567F10"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26.9</w:t>
            </w:r>
          </w:p>
        </w:tc>
      </w:tr>
      <w:tr w:rsidR="00794008" w:rsidRPr="00FB76B7" w14:paraId="636264BC" w14:textId="77777777" w:rsidTr="00794008">
        <w:trPr>
          <w:cantSplit/>
        </w:trPr>
        <w:tc>
          <w:tcPr>
            <w:tcW w:w="734" w:type="dxa"/>
            <w:vMerge/>
            <w:shd w:val="clear" w:color="auto" w:fill="auto"/>
          </w:tcPr>
          <w:p w14:paraId="32F37DAA" w14:textId="77777777" w:rsidR="00794008" w:rsidRPr="00FB76B7" w:rsidRDefault="00794008" w:rsidP="007B1BDB">
            <w:pPr>
              <w:autoSpaceDE w:val="0"/>
              <w:autoSpaceDN w:val="0"/>
              <w:adjustRightInd w:val="0"/>
              <w:spacing w:before="240" w:after="0" w:line="360" w:lineRule="auto"/>
              <w:jc w:val="left"/>
              <w:rPr>
                <w:rFonts w:ascii="Arial" w:hAnsi="Arial" w:cs="Arial"/>
                <w:sz w:val="18"/>
                <w:szCs w:val="18"/>
              </w:rPr>
            </w:pPr>
          </w:p>
        </w:tc>
        <w:tc>
          <w:tcPr>
            <w:tcW w:w="2448" w:type="dxa"/>
            <w:shd w:val="clear" w:color="auto" w:fill="auto"/>
          </w:tcPr>
          <w:p w14:paraId="4228BB9F" w14:textId="77777777" w:rsidR="00794008" w:rsidRPr="00FB76B7" w:rsidRDefault="00794008" w:rsidP="007B1BDB">
            <w:pPr>
              <w:autoSpaceDE w:val="0"/>
              <w:autoSpaceDN w:val="0"/>
              <w:adjustRightInd w:val="0"/>
              <w:spacing w:before="240" w:after="0" w:line="360" w:lineRule="auto"/>
              <w:ind w:left="60" w:right="60"/>
              <w:jc w:val="left"/>
              <w:rPr>
                <w:rFonts w:ascii="Arial" w:hAnsi="Arial" w:cs="Arial"/>
                <w:sz w:val="18"/>
                <w:szCs w:val="18"/>
              </w:rPr>
            </w:pPr>
            <w:r w:rsidRPr="00FB76B7">
              <w:rPr>
                <w:rFonts w:ascii="Arial" w:hAnsi="Arial" w:cs="Arial"/>
                <w:sz w:val="18"/>
                <w:szCs w:val="18"/>
              </w:rPr>
              <w:t>Little (25-50%)</w:t>
            </w:r>
          </w:p>
        </w:tc>
        <w:tc>
          <w:tcPr>
            <w:tcW w:w="1162" w:type="dxa"/>
            <w:shd w:val="clear" w:color="auto" w:fill="auto"/>
          </w:tcPr>
          <w:p w14:paraId="2FB2ACF0"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58</w:t>
            </w:r>
          </w:p>
        </w:tc>
        <w:tc>
          <w:tcPr>
            <w:tcW w:w="1024" w:type="dxa"/>
            <w:shd w:val="clear" w:color="auto" w:fill="auto"/>
          </w:tcPr>
          <w:p w14:paraId="74A1356C"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37.2</w:t>
            </w:r>
          </w:p>
        </w:tc>
        <w:tc>
          <w:tcPr>
            <w:tcW w:w="1392" w:type="dxa"/>
            <w:shd w:val="clear" w:color="auto" w:fill="auto"/>
          </w:tcPr>
          <w:p w14:paraId="678B5FF3"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37.2</w:t>
            </w:r>
          </w:p>
        </w:tc>
        <w:tc>
          <w:tcPr>
            <w:tcW w:w="1469" w:type="dxa"/>
            <w:shd w:val="clear" w:color="auto" w:fill="auto"/>
          </w:tcPr>
          <w:p w14:paraId="68ECE6E2"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64.1</w:t>
            </w:r>
          </w:p>
        </w:tc>
      </w:tr>
      <w:tr w:rsidR="00794008" w:rsidRPr="00FB76B7" w14:paraId="683FE892" w14:textId="77777777" w:rsidTr="00794008">
        <w:trPr>
          <w:cantSplit/>
        </w:trPr>
        <w:tc>
          <w:tcPr>
            <w:tcW w:w="734" w:type="dxa"/>
            <w:vMerge/>
            <w:shd w:val="clear" w:color="auto" w:fill="auto"/>
          </w:tcPr>
          <w:p w14:paraId="50BF6B12" w14:textId="77777777" w:rsidR="00794008" w:rsidRPr="00FB76B7" w:rsidRDefault="00794008" w:rsidP="007B1BDB">
            <w:pPr>
              <w:autoSpaceDE w:val="0"/>
              <w:autoSpaceDN w:val="0"/>
              <w:adjustRightInd w:val="0"/>
              <w:spacing w:before="240" w:after="0" w:line="360" w:lineRule="auto"/>
              <w:jc w:val="left"/>
              <w:rPr>
                <w:rFonts w:ascii="Arial" w:hAnsi="Arial" w:cs="Arial"/>
                <w:sz w:val="18"/>
                <w:szCs w:val="18"/>
              </w:rPr>
            </w:pPr>
          </w:p>
        </w:tc>
        <w:tc>
          <w:tcPr>
            <w:tcW w:w="2448" w:type="dxa"/>
            <w:shd w:val="clear" w:color="auto" w:fill="auto"/>
          </w:tcPr>
          <w:p w14:paraId="5A7B6528" w14:textId="77777777" w:rsidR="00794008" w:rsidRPr="00FB76B7" w:rsidRDefault="00794008" w:rsidP="007B1BDB">
            <w:pPr>
              <w:autoSpaceDE w:val="0"/>
              <w:autoSpaceDN w:val="0"/>
              <w:adjustRightInd w:val="0"/>
              <w:spacing w:before="240" w:after="0" w:line="360" w:lineRule="auto"/>
              <w:ind w:left="60" w:right="60"/>
              <w:jc w:val="left"/>
              <w:rPr>
                <w:rFonts w:ascii="Arial" w:hAnsi="Arial" w:cs="Arial"/>
                <w:sz w:val="18"/>
                <w:szCs w:val="18"/>
              </w:rPr>
            </w:pPr>
            <w:r w:rsidRPr="00FB76B7">
              <w:rPr>
                <w:rFonts w:ascii="Arial" w:hAnsi="Arial" w:cs="Arial"/>
                <w:sz w:val="18"/>
                <w:szCs w:val="18"/>
              </w:rPr>
              <w:t>Moderate (51-75%)</w:t>
            </w:r>
          </w:p>
        </w:tc>
        <w:tc>
          <w:tcPr>
            <w:tcW w:w="1162" w:type="dxa"/>
            <w:shd w:val="clear" w:color="auto" w:fill="auto"/>
          </w:tcPr>
          <w:p w14:paraId="4AE4A4A5"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34</w:t>
            </w:r>
          </w:p>
        </w:tc>
        <w:tc>
          <w:tcPr>
            <w:tcW w:w="1024" w:type="dxa"/>
            <w:shd w:val="clear" w:color="auto" w:fill="auto"/>
          </w:tcPr>
          <w:p w14:paraId="408D241C"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21.8</w:t>
            </w:r>
          </w:p>
        </w:tc>
        <w:tc>
          <w:tcPr>
            <w:tcW w:w="1392" w:type="dxa"/>
            <w:shd w:val="clear" w:color="auto" w:fill="auto"/>
          </w:tcPr>
          <w:p w14:paraId="01AF1BAB"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21.8</w:t>
            </w:r>
          </w:p>
        </w:tc>
        <w:tc>
          <w:tcPr>
            <w:tcW w:w="1469" w:type="dxa"/>
            <w:shd w:val="clear" w:color="auto" w:fill="auto"/>
          </w:tcPr>
          <w:p w14:paraId="35C52C43"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85.9</w:t>
            </w:r>
          </w:p>
        </w:tc>
      </w:tr>
      <w:tr w:rsidR="00794008" w:rsidRPr="00FB76B7" w14:paraId="0319D9FD" w14:textId="77777777" w:rsidTr="00794008">
        <w:trPr>
          <w:cantSplit/>
        </w:trPr>
        <w:tc>
          <w:tcPr>
            <w:tcW w:w="734" w:type="dxa"/>
            <w:vMerge/>
            <w:shd w:val="clear" w:color="auto" w:fill="auto"/>
          </w:tcPr>
          <w:p w14:paraId="76CA1EE6" w14:textId="77777777" w:rsidR="00794008" w:rsidRPr="00FB76B7" w:rsidRDefault="00794008" w:rsidP="007B1BDB">
            <w:pPr>
              <w:autoSpaceDE w:val="0"/>
              <w:autoSpaceDN w:val="0"/>
              <w:adjustRightInd w:val="0"/>
              <w:spacing w:before="240" w:after="0" w:line="360" w:lineRule="auto"/>
              <w:jc w:val="left"/>
              <w:rPr>
                <w:rFonts w:ascii="Arial" w:hAnsi="Arial" w:cs="Arial"/>
                <w:sz w:val="18"/>
                <w:szCs w:val="18"/>
              </w:rPr>
            </w:pPr>
          </w:p>
        </w:tc>
        <w:tc>
          <w:tcPr>
            <w:tcW w:w="2448" w:type="dxa"/>
            <w:shd w:val="clear" w:color="auto" w:fill="auto"/>
          </w:tcPr>
          <w:p w14:paraId="4310530B" w14:textId="77777777" w:rsidR="00794008" w:rsidRPr="00FB76B7" w:rsidRDefault="00794008" w:rsidP="007B1BDB">
            <w:pPr>
              <w:autoSpaceDE w:val="0"/>
              <w:autoSpaceDN w:val="0"/>
              <w:adjustRightInd w:val="0"/>
              <w:spacing w:before="240" w:after="0" w:line="360" w:lineRule="auto"/>
              <w:ind w:left="60" w:right="60"/>
              <w:jc w:val="left"/>
              <w:rPr>
                <w:rFonts w:ascii="Arial" w:hAnsi="Arial" w:cs="Arial"/>
                <w:sz w:val="18"/>
                <w:szCs w:val="18"/>
              </w:rPr>
            </w:pPr>
            <w:r w:rsidRPr="00FB76B7">
              <w:rPr>
                <w:rFonts w:ascii="Arial" w:hAnsi="Arial" w:cs="Arial"/>
                <w:sz w:val="18"/>
                <w:szCs w:val="18"/>
              </w:rPr>
              <w:t>High (More than 75%)</w:t>
            </w:r>
          </w:p>
        </w:tc>
        <w:tc>
          <w:tcPr>
            <w:tcW w:w="1162" w:type="dxa"/>
            <w:shd w:val="clear" w:color="auto" w:fill="auto"/>
          </w:tcPr>
          <w:p w14:paraId="644E9FA4"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22</w:t>
            </w:r>
          </w:p>
        </w:tc>
        <w:tc>
          <w:tcPr>
            <w:tcW w:w="1024" w:type="dxa"/>
            <w:shd w:val="clear" w:color="auto" w:fill="auto"/>
          </w:tcPr>
          <w:p w14:paraId="374F3DD5"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14.1</w:t>
            </w:r>
          </w:p>
        </w:tc>
        <w:tc>
          <w:tcPr>
            <w:tcW w:w="1392" w:type="dxa"/>
            <w:shd w:val="clear" w:color="auto" w:fill="auto"/>
          </w:tcPr>
          <w:p w14:paraId="7603D364"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14.1</w:t>
            </w:r>
          </w:p>
        </w:tc>
        <w:tc>
          <w:tcPr>
            <w:tcW w:w="1469" w:type="dxa"/>
            <w:shd w:val="clear" w:color="auto" w:fill="auto"/>
          </w:tcPr>
          <w:p w14:paraId="0BD19A51"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100.0</w:t>
            </w:r>
          </w:p>
        </w:tc>
      </w:tr>
      <w:tr w:rsidR="00794008" w:rsidRPr="00FB76B7" w14:paraId="52B18A4E" w14:textId="77777777" w:rsidTr="00794008">
        <w:trPr>
          <w:cantSplit/>
        </w:trPr>
        <w:tc>
          <w:tcPr>
            <w:tcW w:w="734" w:type="dxa"/>
            <w:vMerge/>
            <w:shd w:val="clear" w:color="auto" w:fill="auto"/>
          </w:tcPr>
          <w:p w14:paraId="11CC7A1B" w14:textId="77777777" w:rsidR="00794008" w:rsidRPr="00FB76B7" w:rsidRDefault="00794008" w:rsidP="007B1BDB">
            <w:pPr>
              <w:autoSpaceDE w:val="0"/>
              <w:autoSpaceDN w:val="0"/>
              <w:adjustRightInd w:val="0"/>
              <w:spacing w:before="240" w:after="0" w:line="360" w:lineRule="auto"/>
              <w:jc w:val="left"/>
              <w:rPr>
                <w:rFonts w:ascii="Arial" w:hAnsi="Arial" w:cs="Arial"/>
                <w:sz w:val="18"/>
                <w:szCs w:val="18"/>
              </w:rPr>
            </w:pPr>
          </w:p>
        </w:tc>
        <w:tc>
          <w:tcPr>
            <w:tcW w:w="2448" w:type="dxa"/>
            <w:tcBorders>
              <w:bottom w:val="single" w:sz="4" w:space="0" w:color="auto"/>
            </w:tcBorders>
            <w:shd w:val="clear" w:color="auto" w:fill="auto"/>
          </w:tcPr>
          <w:p w14:paraId="6C752451" w14:textId="77777777" w:rsidR="00794008" w:rsidRPr="00FB76B7" w:rsidRDefault="00794008" w:rsidP="007B1BDB">
            <w:pPr>
              <w:autoSpaceDE w:val="0"/>
              <w:autoSpaceDN w:val="0"/>
              <w:adjustRightInd w:val="0"/>
              <w:spacing w:before="240"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tcBorders>
              <w:bottom w:val="single" w:sz="4" w:space="0" w:color="auto"/>
            </w:tcBorders>
            <w:shd w:val="clear" w:color="auto" w:fill="auto"/>
          </w:tcPr>
          <w:p w14:paraId="64FF2558"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tcBorders>
              <w:bottom w:val="single" w:sz="4" w:space="0" w:color="auto"/>
            </w:tcBorders>
            <w:shd w:val="clear" w:color="auto" w:fill="auto"/>
          </w:tcPr>
          <w:p w14:paraId="2B488CCB"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2" w:type="dxa"/>
            <w:tcBorders>
              <w:bottom w:val="single" w:sz="4" w:space="0" w:color="auto"/>
            </w:tcBorders>
            <w:shd w:val="clear" w:color="auto" w:fill="auto"/>
          </w:tcPr>
          <w:p w14:paraId="194E09D6" w14:textId="77777777" w:rsidR="00794008" w:rsidRPr="00FB76B7" w:rsidRDefault="00794008" w:rsidP="007B1BDB">
            <w:pPr>
              <w:autoSpaceDE w:val="0"/>
              <w:autoSpaceDN w:val="0"/>
              <w:adjustRightInd w:val="0"/>
              <w:spacing w:before="240"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tcBorders>
              <w:bottom w:val="single" w:sz="4" w:space="0" w:color="auto"/>
            </w:tcBorders>
            <w:shd w:val="clear" w:color="auto" w:fill="auto"/>
            <w:vAlign w:val="center"/>
          </w:tcPr>
          <w:p w14:paraId="61DC1229" w14:textId="77777777" w:rsidR="00794008" w:rsidRPr="00FB76B7" w:rsidRDefault="00794008" w:rsidP="007B1BDB">
            <w:pPr>
              <w:autoSpaceDE w:val="0"/>
              <w:autoSpaceDN w:val="0"/>
              <w:adjustRightInd w:val="0"/>
              <w:spacing w:before="240" w:after="0" w:line="360" w:lineRule="auto"/>
              <w:jc w:val="left"/>
              <w:rPr>
                <w:rFonts w:cs="Times New Roman"/>
                <w:szCs w:val="24"/>
              </w:rPr>
            </w:pPr>
          </w:p>
        </w:tc>
      </w:tr>
    </w:tbl>
    <w:p w14:paraId="000629C0" w14:textId="3D49E57C" w:rsidR="003E39A7" w:rsidRDefault="003E39A7" w:rsidP="007B1BDB">
      <w:pPr>
        <w:spacing w:before="240" w:line="360" w:lineRule="auto"/>
      </w:pPr>
      <w:r>
        <w:t xml:space="preserve">      Fig-4.11: Remittance spent on education</w:t>
      </w:r>
    </w:p>
    <w:p w14:paraId="5488FA46" w14:textId="0376CF95" w:rsidR="00014433" w:rsidRDefault="00794008" w:rsidP="007B1BDB">
      <w:pPr>
        <w:spacing w:before="240" w:line="360" w:lineRule="auto"/>
      </w:pPr>
      <w:r>
        <w:t>Out of 156 respondents, 26.9% reported spending very little (less than 25%) of their remittance on education. A larger group, 37.2%, indicated that a little (25-50%) of their remittance is directed towards educational expenses. Additionally, 21.8% of the participants mentioned that a moderate amount (51-75%) is used for education. Lastly, 14.1% of the respondents reported spending a high amount (more than 75%) on educational needs. These figures illustrate that while a substantial portion of remittance is allocated towards education, the extent of this spending varies significantly among families. This variation may reflect differing priorities and financial circumstances, with some families being able to invest more heavily in education than others. Overall, the data highlights the important role remittance plays in supporting educational opportunities for recipients.</w:t>
      </w:r>
    </w:p>
    <w:p w14:paraId="0D4510AD" w14:textId="77777777" w:rsidR="00794008" w:rsidRDefault="00794008" w:rsidP="007B1BDB">
      <w:pPr>
        <w:spacing w:line="360" w:lineRule="auto"/>
        <w:jc w:val="left"/>
      </w:pPr>
    </w:p>
    <w:tbl>
      <w:tblPr>
        <w:tblW w:w="822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794008" w:rsidRPr="00FB76B7" w14:paraId="24C92278" w14:textId="77777777" w:rsidTr="00D16E6F">
        <w:trPr>
          <w:cantSplit/>
        </w:trPr>
        <w:tc>
          <w:tcPr>
            <w:tcW w:w="8226" w:type="dxa"/>
            <w:gridSpan w:val="6"/>
            <w:tcBorders>
              <w:top w:val="single" w:sz="4" w:space="0" w:color="auto"/>
              <w:bottom w:val="single" w:sz="4" w:space="0" w:color="auto"/>
            </w:tcBorders>
            <w:shd w:val="clear" w:color="auto" w:fill="auto"/>
            <w:vAlign w:val="center"/>
          </w:tcPr>
          <w:p w14:paraId="12C4D918" w14:textId="77777777" w:rsidR="00794008" w:rsidRPr="00FB76B7" w:rsidRDefault="00794008" w:rsidP="007B1BDB">
            <w:pPr>
              <w:spacing w:line="360" w:lineRule="auto"/>
              <w:jc w:val="center"/>
            </w:pPr>
            <w:r w:rsidRPr="00FB76B7">
              <w:t>How much of the remittance is spent on healthcare?</w:t>
            </w:r>
          </w:p>
        </w:tc>
      </w:tr>
      <w:tr w:rsidR="00794008" w:rsidRPr="00FB76B7" w14:paraId="71CAA8D4" w14:textId="77777777" w:rsidTr="00D16E6F">
        <w:trPr>
          <w:cantSplit/>
        </w:trPr>
        <w:tc>
          <w:tcPr>
            <w:tcW w:w="3181" w:type="dxa"/>
            <w:gridSpan w:val="2"/>
            <w:tcBorders>
              <w:top w:val="single" w:sz="4" w:space="0" w:color="auto"/>
              <w:bottom w:val="single" w:sz="4" w:space="0" w:color="auto"/>
            </w:tcBorders>
            <w:shd w:val="clear" w:color="auto" w:fill="auto"/>
            <w:vAlign w:val="bottom"/>
          </w:tcPr>
          <w:p w14:paraId="533C2AA3" w14:textId="77777777" w:rsidR="00794008" w:rsidRPr="00FB76B7" w:rsidRDefault="00794008"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463C8F46"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1C514507"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1" w:type="dxa"/>
            <w:tcBorders>
              <w:top w:val="single" w:sz="4" w:space="0" w:color="auto"/>
              <w:bottom w:val="single" w:sz="4" w:space="0" w:color="auto"/>
            </w:tcBorders>
            <w:shd w:val="clear" w:color="auto" w:fill="auto"/>
            <w:vAlign w:val="bottom"/>
          </w:tcPr>
          <w:p w14:paraId="74D1D3CA"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8" w:type="dxa"/>
            <w:tcBorders>
              <w:top w:val="single" w:sz="4" w:space="0" w:color="auto"/>
              <w:bottom w:val="single" w:sz="4" w:space="0" w:color="auto"/>
            </w:tcBorders>
            <w:shd w:val="clear" w:color="auto" w:fill="auto"/>
            <w:vAlign w:val="bottom"/>
          </w:tcPr>
          <w:p w14:paraId="30B6D9B4"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794008" w:rsidRPr="00FB76B7" w14:paraId="33441C72" w14:textId="77777777" w:rsidTr="00D16E6F">
        <w:trPr>
          <w:cantSplit/>
        </w:trPr>
        <w:tc>
          <w:tcPr>
            <w:tcW w:w="734" w:type="dxa"/>
            <w:vMerge w:val="restart"/>
            <w:tcBorders>
              <w:top w:val="single" w:sz="4" w:space="0" w:color="auto"/>
            </w:tcBorders>
            <w:shd w:val="clear" w:color="auto" w:fill="auto"/>
          </w:tcPr>
          <w:p w14:paraId="06BBB013"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p>
        </w:tc>
        <w:tc>
          <w:tcPr>
            <w:tcW w:w="2447" w:type="dxa"/>
            <w:tcBorders>
              <w:top w:val="single" w:sz="4" w:space="0" w:color="auto"/>
            </w:tcBorders>
            <w:shd w:val="clear" w:color="auto" w:fill="auto"/>
          </w:tcPr>
          <w:p w14:paraId="695E8179"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little (Less than 25%)</w:t>
            </w:r>
          </w:p>
        </w:tc>
        <w:tc>
          <w:tcPr>
            <w:tcW w:w="1162" w:type="dxa"/>
            <w:tcBorders>
              <w:top w:val="single" w:sz="4" w:space="0" w:color="auto"/>
            </w:tcBorders>
            <w:shd w:val="clear" w:color="auto" w:fill="auto"/>
          </w:tcPr>
          <w:p w14:paraId="6999DE1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57</w:t>
            </w:r>
          </w:p>
        </w:tc>
        <w:tc>
          <w:tcPr>
            <w:tcW w:w="1024" w:type="dxa"/>
            <w:tcBorders>
              <w:top w:val="single" w:sz="4" w:space="0" w:color="auto"/>
            </w:tcBorders>
            <w:shd w:val="clear" w:color="auto" w:fill="auto"/>
          </w:tcPr>
          <w:p w14:paraId="4EEAF29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36.5</w:t>
            </w:r>
          </w:p>
        </w:tc>
        <w:tc>
          <w:tcPr>
            <w:tcW w:w="1391" w:type="dxa"/>
            <w:tcBorders>
              <w:top w:val="single" w:sz="4" w:space="0" w:color="auto"/>
            </w:tcBorders>
            <w:shd w:val="clear" w:color="auto" w:fill="auto"/>
          </w:tcPr>
          <w:p w14:paraId="2669BF4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36.5</w:t>
            </w:r>
          </w:p>
        </w:tc>
        <w:tc>
          <w:tcPr>
            <w:tcW w:w="1468" w:type="dxa"/>
            <w:tcBorders>
              <w:top w:val="single" w:sz="4" w:space="0" w:color="auto"/>
            </w:tcBorders>
            <w:shd w:val="clear" w:color="auto" w:fill="auto"/>
          </w:tcPr>
          <w:p w14:paraId="41DC15F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36.5</w:t>
            </w:r>
          </w:p>
        </w:tc>
      </w:tr>
      <w:tr w:rsidR="00794008" w:rsidRPr="00FB76B7" w14:paraId="578FBA3B" w14:textId="77777777" w:rsidTr="00794008">
        <w:trPr>
          <w:cantSplit/>
        </w:trPr>
        <w:tc>
          <w:tcPr>
            <w:tcW w:w="734" w:type="dxa"/>
            <w:vMerge/>
            <w:shd w:val="clear" w:color="auto" w:fill="auto"/>
          </w:tcPr>
          <w:p w14:paraId="57040838"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7" w:type="dxa"/>
            <w:shd w:val="clear" w:color="auto" w:fill="auto"/>
          </w:tcPr>
          <w:p w14:paraId="50BC3F22"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Little (25-50%)</w:t>
            </w:r>
          </w:p>
        </w:tc>
        <w:tc>
          <w:tcPr>
            <w:tcW w:w="1162" w:type="dxa"/>
            <w:shd w:val="clear" w:color="auto" w:fill="auto"/>
          </w:tcPr>
          <w:p w14:paraId="60CEDFAE"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44</w:t>
            </w:r>
          </w:p>
        </w:tc>
        <w:tc>
          <w:tcPr>
            <w:tcW w:w="1024" w:type="dxa"/>
            <w:shd w:val="clear" w:color="auto" w:fill="auto"/>
          </w:tcPr>
          <w:p w14:paraId="7B67F85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28.2</w:t>
            </w:r>
          </w:p>
        </w:tc>
        <w:tc>
          <w:tcPr>
            <w:tcW w:w="1391" w:type="dxa"/>
            <w:shd w:val="clear" w:color="auto" w:fill="auto"/>
          </w:tcPr>
          <w:p w14:paraId="5EB0060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28.2</w:t>
            </w:r>
          </w:p>
        </w:tc>
        <w:tc>
          <w:tcPr>
            <w:tcW w:w="1468" w:type="dxa"/>
            <w:shd w:val="clear" w:color="auto" w:fill="auto"/>
          </w:tcPr>
          <w:p w14:paraId="21E48A06"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64.7</w:t>
            </w:r>
          </w:p>
        </w:tc>
      </w:tr>
      <w:tr w:rsidR="00794008" w:rsidRPr="00FB76B7" w14:paraId="0D7C7486" w14:textId="77777777" w:rsidTr="00794008">
        <w:trPr>
          <w:cantSplit/>
        </w:trPr>
        <w:tc>
          <w:tcPr>
            <w:tcW w:w="734" w:type="dxa"/>
            <w:vMerge/>
            <w:shd w:val="clear" w:color="auto" w:fill="auto"/>
          </w:tcPr>
          <w:p w14:paraId="3FE85029"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7" w:type="dxa"/>
            <w:shd w:val="clear" w:color="auto" w:fill="auto"/>
          </w:tcPr>
          <w:p w14:paraId="4E580FDB"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Moderate (51-75%)</w:t>
            </w:r>
          </w:p>
        </w:tc>
        <w:tc>
          <w:tcPr>
            <w:tcW w:w="1162" w:type="dxa"/>
            <w:shd w:val="clear" w:color="auto" w:fill="auto"/>
          </w:tcPr>
          <w:p w14:paraId="23653208"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33</w:t>
            </w:r>
          </w:p>
        </w:tc>
        <w:tc>
          <w:tcPr>
            <w:tcW w:w="1024" w:type="dxa"/>
            <w:shd w:val="clear" w:color="auto" w:fill="auto"/>
          </w:tcPr>
          <w:p w14:paraId="7C3D1ED7"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21.2</w:t>
            </w:r>
          </w:p>
        </w:tc>
        <w:tc>
          <w:tcPr>
            <w:tcW w:w="1391" w:type="dxa"/>
            <w:shd w:val="clear" w:color="auto" w:fill="auto"/>
          </w:tcPr>
          <w:p w14:paraId="4FD51850"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21.2</w:t>
            </w:r>
          </w:p>
        </w:tc>
        <w:tc>
          <w:tcPr>
            <w:tcW w:w="1468" w:type="dxa"/>
            <w:shd w:val="clear" w:color="auto" w:fill="auto"/>
          </w:tcPr>
          <w:p w14:paraId="3D1298C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85.9</w:t>
            </w:r>
          </w:p>
        </w:tc>
      </w:tr>
      <w:tr w:rsidR="00794008" w:rsidRPr="00FB76B7" w14:paraId="367F0904" w14:textId="77777777" w:rsidTr="00794008">
        <w:trPr>
          <w:cantSplit/>
        </w:trPr>
        <w:tc>
          <w:tcPr>
            <w:tcW w:w="734" w:type="dxa"/>
            <w:vMerge/>
            <w:shd w:val="clear" w:color="auto" w:fill="auto"/>
          </w:tcPr>
          <w:p w14:paraId="7A8EE4CF"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7" w:type="dxa"/>
            <w:shd w:val="clear" w:color="auto" w:fill="auto"/>
          </w:tcPr>
          <w:p w14:paraId="56ECD8E0"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High (More than 75%)</w:t>
            </w:r>
          </w:p>
        </w:tc>
        <w:tc>
          <w:tcPr>
            <w:tcW w:w="1162" w:type="dxa"/>
            <w:shd w:val="clear" w:color="auto" w:fill="auto"/>
          </w:tcPr>
          <w:p w14:paraId="5748F6FE"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22</w:t>
            </w:r>
          </w:p>
        </w:tc>
        <w:tc>
          <w:tcPr>
            <w:tcW w:w="1024" w:type="dxa"/>
            <w:shd w:val="clear" w:color="auto" w:fill="auto"/>
          </w:tcPr>
          <w:p w14:paraId="2538648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14.1</w:t>
            </w:r>
          </w:p>
        </w:tc>
        <w:tc>
          <w:tcPr>
            <w:tcW w:w="1391" w:type="dxa"/>
            <w:shd w:val="clear" w:color="auto" w:fill="auto"/>
          </w:tcPr>
          <w:p w14:paraId="7F74C130"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14.1</w:t>
            </w:r>
          </w:p>
        </w:tc>
        <w:tc>
          <w:tcPr>
            <w:tcW w:w="1468" w:type="dxa"/>
            <w:shd w:val="clear" w:color="auto" w:fill="auto"/>
          </w:tcPr>
          <w:p w14:paraId="3D245935"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794008" w:rsidRPr="00FB76B7" w14:paraId="22692B23" w14:textId="77777777" w:rsidTr="00794008">
        <w:trPr>
          <w:cantSplit/>
        </w:trPr>
        <w:tc>
          <w:tcPr>
            <w:tcW w:w="734" w:type="dxa"/>
            <w:vMerge/>
            <w:shd w:val="clear" w:color="auto" w:fill="auto"/>
          </w:tcPr>
          <w:p w14:paraId="4289B239"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7" w:type="dxa"/>
            <w:shd w:val="clear" w:color="auto" w:fill="auto"/>
          </w:tcPr>
          <w:p w14:paraId="37871165"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shd w:val="clear" w:color="auto" w:fill="auto"/>
          </w:tcPr>
          <w:p w14:paraId="53B31D9E"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shd w:val="clear" w:color="auto" w:fill="auto"/>
          </w:tcPr>
          <w:p w14:paraId="19840CA5"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1" w:type="dxa"/>
            <w:shd w:val="clear" w:color="auto" w:fill="auto"/>
          </w:tcPr>
          <w:p w14:paraId="79E5CC0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8" w:type="dxa"/>
            <w:shd w:val="clear" w:color="auto" w:fill="auto"/>
            <w:vAlign w:val="center"/>
          </w:tcPr>
          <w:p w14:paraId="7FD17B03" w14:textId="77777777" w:rsidR="00794008" w:rsidRPr="00FB76B7" w:rsidRDefault="00794008" w:rsidP="007B1BDB">
            <w:pPr>
              <w:autoSpaceDE w:val="0"/>
              <w:autoSpaceDN w:val="0"/>
              <w:adjustRightInd w:val="0"/>
              <w:spacing w:after="0" w:line="360" w:lineRule="auto"/>
              <w:jc w:val="left"/>
              <w:rPr>
                <w:rFonts w:cs="Times New Roman"/>
                <w:szCs w:val="24"/>
              </w:rPr>
            </w:pPr>
          </w:p>
        </w:tc>
      </w:tr>
    </w:tbl>
    <w:p w14:paraId="50561DDF" w14:textId="77777777" w:rsidR="00794008" w:rsidRDefault="00794008" w:rsidP="007B1BDB">
      <w:pPr>
        <w:spacing w:line="360" w:lineRule="auto"/>
        <w:jc w:val="left"/>
      </w:pPr>
    </w:p>
    <w:p w14:paraId="739FA28C" w14:textId="77777777" w:rsidR="00794008" w:rsidRDefault="00794008" w:rsidP="007B1BDB">
      <w:pPr>
        <w:spacing w:line="360" w:lineRule="auto"/>
        <w:jc w:val="left"/>
      </w:pPr>
    </w:p>
    <w:p w14:paraId="26124F83" w14:textId="76D3F1B0" w:rsidR="003E39A7" w:rsidRDefault="003E39A7"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Fig-4.12: Remittance spent on </w:t>
      </w:r>
      <w:proofErr w:type="spellStart"/>
      <w:r>
        <w:rPr>
          <w:rFonts w:eastAsia="Times New Roman" w:cs="Times New Roman"/>
          <w:color w:val="auto"/>
          <w:szCs w:val="24"/>
        </w:rPr>
        <w:t>healthcares</w:t>
      </w:r>
      <w:proofErr w:type="spellEnd"/>
    </w:p>
    <w:p w14:paraId="638DFDA2" w14:textId="56F592EC"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allocation of remittance funds for healthcare expenses shows a varied distribution of spending among recipients. Analyzing responses from 156 participants, it was found that 36.5% of the respondents spend very little (less than 25%) of their remittance on healthcare. A slightly smaller group, 28.2%, reported that a little (25-50%) of their remittance is used for health-related expenses. Furthermore, 21.2% of the respondents indicated that a moderate amount (51-75%) of their remittance goes towards healthcare. Lastly, 14.1% of the participants mentioned spending a high amount (more than 75%) on healthcare needs.</w:t>
      </w:r>
    </w:p>
    <w:p w14:paraId="594818AD" w14:textId="77777777"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This data suggests that while a significant portion of remittance is allocated to healthcare, the amount varies widely among families. This variation likely reflects differences in healthcare needs, access to medical services, and other financial priorities. The findings underscore the essential role of remittance in addressing healthcare expenses, contributing to the overall well-being and health security of recipients.</w:t>
      </w:r>
    </w:p>
    <w:tbl>
      <w:tblPr>
        <w:tblW w:w="822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794008" w:rsidRPr="00FB76B7" w14:paraId="476EDFE3" w14:textId="77777777" w:rsidTr="00D16E6F">
        <w:trPr>
          <w:cantSplit/>
          <w:trHeight w:val="557"/>
        </w:trPr>
        <w:tc>
          <w:tcPr>
            <w:tcW w:w="8229" w:type="dxa"/>
            <w:gridSpan w:val="6"/>
            <w:tcBorders>
              <w:bottom w:val="single" w:sz="4" w:space="0" w:color="auto"/>
            </w:tcBorders>
            <w:shd w:val="clear" w:color="auto" w:fill="auto"/>
            <w:vAlign w:val="center"/>
          </w:tcPr>
          <w:p w14:paraId="7E9223A8" w14:textId="77777777" w:rsidR="00794008" w:rsidRPr="00FB76B7" w:rsidRDefault="00794008" w:rsidP="007B1BDB">
            <w:pPr>
              <w:spacing w:line="360" w:lineRule="auto"/>
              <w:jc w:val="center"/>
            </w:pPr>
            <w:r w:rsidRPr="00FB76B7">
              <w:t>How much of the remittance is saved?</w:t>
            </w:r>
          </w:p>
        </w:tc>
      </w:tr>
      <w:tr w:rsidR="00794008" w:rsidRPr="00FB76B7" w14:paraId="07FC8BCC" w14:textId="77777777" w:rsidTr="00794008">
        <w:trPr>
          <w:cantSplit/>
        </w:trPr>
        <w:tc>
          <w:tcPr>
            <w:tcW w:w="3182" w:type="dxa"/>
            <w:gridSpan w:val="2"/>
            <w:tcBorders>
              <w:top w:val="single" w:sz="4" w:space="0" w:color="auto"/>
              <w:bottom w:val="single" w:sz="4" w:space="0" w:color="auto"/>
            </w:tcBorders>
            <w:shd w:val="clear" w:color="auto" w:fill="auto"/>
            <w:vAlign w:val="bottom"/>
          </w:tcPr>
          <w:p w14:paraId="038FEB0C" w14:textId="77777777" w:rsidR="00794008" w:rsidRPr="00FB76B7" w:rsidRDefault="00794008"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4338EE32"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7A16CEE6"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580C4C7B"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6ADEFF7F"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794008" w:rsidRPr="00FB76B7" w14:paraId="27ADE2F7" w14:textId="77777777" w:rsidTr="00794008">
        <w:trPr>
          <w:cantSplit/>
        </w:trPr>
        <w:tc>
          <w:tcPr>
            <w:tcW w:w="734" w:type="dxa"/>
            <w:vMerge w:val="restart"/>
            <w:tcBorders>
              <w:top w:val="single" w:sz="4" w:space="0" w:color="auto"/>
            </w:tcBorders>
            <w:shd w:val="clear" w:color="auto" w:fill="auto"/>
          </w:tcPr>
          <w:p w14:paraId="7E8BD0DF"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4" w:space="0" w:color="auto"/>
            </w:tcBorders>
            <w:shd w:val="clear" w:color="auto" w:fill="auto"/>
          </w:tcPr>
          <w:p w14:paraId="54D8EAF4"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little (Less than 25%)</w:t>
            </w:r>
          </w:p>
        </w:tc>
        <w:tc>
          <w:tcPr>
            <w:tcW w:w="1162" w:type="dxa"/>
            <w:tcBorders>
              <w:top w:val="single" w:sz="4" w:space="0" w:color="auto"/>
            </w:tcBorders>
            <w:shd w:val="clear" w:color="auto" w:fill="auto"/>
          </w:tcPr>
          <w:p w14:paraId="20BA7ADE"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61</w:t>
            </w:r>
          </w:p>
        </w:tc>
        <w:tc>
          <w:tcPr>
            <w:tcW w:w="1024" w:type="dxa"/>
            <w:tcBorders>
              <w:top w:val="single" w:sz="4" w:space="0" w:color="auto"/>
            </w:tcBorders>
            <w:shd w:val="clear" w:color="auto" w:fill="auto"/>
          </w:tcPr>
          <w:p w14:paraId="2D086387"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39.1</w:t>
            </w:r>
          </w:p>
        </w:tc>
        <w:tc>
          <w:tcPr>
            <w:tcW w:w="1392" w:type="dxa"/>
            <w:tcBorders>
              <w:top w:val="single" w:sz="4" w:space="0" w:color="auto"/>
            </w:tcBorders>
            <w:shd w:val="clear" w:color="auto" w:fill="auto"/>
          </w:tcPr>
          <w:p w14:paraId="35DEF375"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39.1</w:t>
            </w:r>
          </w:p>
        </w:tc>
        <w:tc>
          <w:tcPr>
            <w:tcW w:w="1469" w:type="dxa"/>
            <w:tcBorders>
              <w:top w:val="single" w:sz="4" w:space="0" w:color="auto"/>
            </w:tcBorders>
            <w:shd w:val="clear" w:color="auto" w:fill="auto"/>
          </w:tcPr>
          <w:p w14:paraId="452E98EF"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39.1</w:t>
            </w:r>
          </w:p>
        </w:tc>
      </w:tr>
      <w:tr w:rsidR="00794008" w:rsidRPr="00FB76B7" w14:paraId="7F64EF0A" w14:textId="77777777" w:rsidTr="00794008">
        <w:trPr>
          <w:cantSplit/>
        </w:trPr>
        <w:tc>
          <w:tcPr>
            <w:tcW w:w="734" w:type="dxa"/>
            <w:vMerge/>
            <w:shd w:val="clear" w:color="auto" w:fill="auto"/>
          </w:tcPr>
          <w:p w14:paraId="54E8E4E9"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05A2ADEB"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Little (25-50%)</w:t>
            </w:r>
          </w:p>
        </w:tc>
        <w:tc>
          <w:tcPr>
            <w:tcW w:w="1162" w:type="dxa"/>
            <w:shd w:val="clear" w:color="auto" w:fill="auto"/>
          </w:tcPr>
          <w:p w14:paraId="4CF6B9B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43</w:t>
            </w:r>
          </w:p>
        </w:tc>
        <w:tc>
          <w:tcPr>
            <w:tcW w:w="1024" w:type="dxa"/>
            <w:shd w:val="clear" w:color="auto" w:fill="auto"/>
          </w:tcPr>
          <w:p w14:paraId="30401EF7"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27.6</w:t>
            </w:r>
          </w:p>
        </w:tc>
        <w:tc>
          <w:tcPr>
            <w:tcW w:w="1392" w:type="dxa"/>
            <w:shd w:val="clear" w:color="auto" w:fill="auto"/>
          </w:tcPr>
          <w:p w14:paraId="26F0B004"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27.6</w:t>
            </w:r>
          </w:p>
        </w:tc>
        <w:tc>
          <w:tcPr>
            <w:tcW w:w="1469" w:type="dxa"/>
            <w:shd w:val="clear" w:color="auto" w:fill="auto"/>
          </w:tcPr>
          <w:p w14:paraId="7A9D4B76"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66.7</w:t>
            </w:r>
          </w:p>
        </w:tc>
      </w:tr>
      <w:tr w:rsidR="00794008" w:rsidRPr="00FB76B7" w14:paraId="7C7FAE02" w14:textId="77777777" w:rsidTr="00794008">
        <w:trPr>
          <w:cantSplit/>
        </w:trPr>
        <w:tc>
          <w:tcPr>
            <w:tcW w:w="734" w:type="dxa"/>
            <w:vMerge/>
            <w:shd w:val="clear" w:color="auto" w:fill="auto"/>
          </w:tcPr>
          <w:p w14:paraId="5E335887"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72D823A8"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Moderate (51-75%)</w:t>
            </w:r>
          </w:p>
        </w:tc>
        <w:tc>
          <w:tcPr>
            <w:tcW w:w="1162" w:type="dxa"/>
            <w:shd w:val="clear" w:color="auto" w:fill="auto"/>
          </w:tcPr>
          <w:p w14:paraId="68DCE475"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28</w:t>
            </w:r>
          </w:p>
        </w:tc>
        <w:tc>
          <w:tcPr>
            <w:tcW w:w="1024" w:type="dxa"/>
            <w:shd w:val="clear" w:color="auto" w:fill="auto"/>
          </w:tcPr>
          <w:p w14:paraId="7D35433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17.9</w:t>
            </w:r>
          </w:p>
        </w:tc>
        <w:tc>
          <w:tcPr>
            <w:tcW w:w="1392" w:type="dxa"/>
            <w:shd w:val="clear" w:color="auto" w:fill="auto"/>
          </w:tcPr>
          <w:p w14:paraId="7F610965"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17.9</w:t>
            </w:r>
          </w:p>
        </w:tc>
        <w:tc>
          <w:tcPr>
            <w:tcW w:w="1469" w:type="dxa"/>
            <w:shd w:val="clear" w:color="auto" w:fill="auto"/>
          </w:tcPr>
          <w:p w14:paraId="48B25550"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84.6</w:t>
            </w:r>
          </w:p>
        </w:tc>
      </w:tr>
      <w:tr w:rsidR="00794008" w:rsidRPr="00FB76B7" w14:paraId="4961E851" w14:textId="77777777" w:rsidTr="00794008">
        <w:trPr>
          <w:cantSplit/>
        </w:trPr>
        <w:tc>
          <w:tcPr>
            <w:tcW w:w="734" w:type="dxa"/>
            <w:vMerge/>
            <w:shd w:val="clear" w:color="auto" w:fill="auto"/>
          </w:tcPr>
          <w:p w14:paraId="49437BA9"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3CEBE2D4"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High (More than 75%)</w:t>
            </w:r>
          </w:p>
        </w:tc>
        <w:tc>
          <w:tcPr>
            <w:tcW w:w="1162" w:type="dxa"/>
            <w:shd w:val="clear" w:color="auto" w:fill="auto"/>
          </w:tcPr>
          <w:p w14:paraId="4069B017"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24</w:t>
            </w:r>
          </w:p>
        </w:tc>
        <w:tc>
          <w:tcPr>
            <w:tcW w:w="1024" w:type="dxa"/>
            <w:shd w:val="clear" w:color="auto" w:fill="auto"/>
          </w:tcPr>
          <w:p w14:paraId="31952A5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15.4</w:t>
            </w:r>
          </w:p>
        </w:tc>
        <w:tc>
          <w:tcPr>
            <w:tcW w:w="1392" w:type="dxa"/>
            <w:shd w:val="clear" w:color="auto" w:fill="auto"/>
          </w:tcPr>
          <w:p w14:paraId="4286FA9E"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15.4</w:t>
            </w:r>
          </w:p>
        </w:tc>
        <w:tc>
          <w:tcPr>
            <w:tcW w:w="1469" w:type="dxa"/>
            <w:shd w:val="clear" w:color="auto" w:fill="auto"/>
          </w:tcPr>
          <w:p w14:paraId="4F494827"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794008" w:rsidRPr="00FB76B7" w14:paraId="417C85AA" w14:textId="77777777" w:rsidTr="00794008">
        <w:trPr>
          <w:cantSplit/>
        </w:trPr>
        <w:tc>
          <w:tcPr>
            <w:tcW w:w="734" w:type="dxa"/>
            <w:vMerge/>
            <w:shd w:val="clear" w:color="auto" w:fill="auto"/>
          </w:tcPr>
          <w:p w14:paraId="4C1A57B2"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29A33390"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shd w:val="clear" w:color="auto" w:fill="auto"/>
          </w:tcPr>
          <w:p w14:paraId="74FDE45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shd w:val="clear" w:color="auto" w:fill="auto"/>
          </w:tcPr>
          <w:p w14:paraId="4B2EC7CF"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2" w:type="dxa"/>
            <w:shd w:val="clear" w:color="auto" w:fill="auto"/>
          </w:tcPr>
          <w:p w14:paraId="5CB42C2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shd w:val="clear" w:color="auto" w:fill="auto"/>
            <w:vAlign w:val="center"/>
          </w:tcPr>
          <w:p w14:paraId="070E0FB0" w14:textId="77777777" w:rsidR="00794008" w:rsidRPr="00FB76B7" w:rsidRDefault="00794008" w:rsidP="007B1BDB">
            <w:pPr>
              <w:autoSpaceDE w:val="0"/>
              <w:autoSpaceDN w:val="0"/>
              <w:adjustRightInd w:val="0"/>
              <w:spacing w:after="0" w:line="360" w:lineRule="auto"/>
              <w:jc w:val="left"/>
              <w:rPr>
                <w:rFonts w:cs="Times New Roman"/>
                <w:szCs w:val="24"/>
              </w:rPr>
            </w:pPr>
          </w:p>
        </w:tc>
      </w:tr>
    </w:tbl>
    <w:p w14:paraId="2A82CA20" w14:textId="7BB0E4ED" w:rsidR="00E63F18" w:rsidRDefault="00E63F18"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Fig-4.13: Percentage of remittance saved</w:t>
      </w:r>
    </w:p>
    <w:p w14:paraId="6132E9AE" w14:textId="2CCC0905"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lastRenderedPageBreak/>
        <w:t>A study examining the savings behavior of remittance recipients reveals how much of the received funds are saved. Among 156 respondents, 39.1% reported saving very little (less than 25%) of their remittance. Another 27.6% indicated that a little (25-50%) of their remittance is set aside as savings. Additionally, 17.9% of the participants stated that a moderate amount (51-75%) of their remittance is saved. Finally, 15.4% of the respondents mentioned saving a high amount (more than 75%) of their remittance.</w:t>
      </w:r>
    </w:p>
    <w:p w14:paraId="793B9040" w14:textId="77777777"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This distribution shows that while a substantial portion of remittance is saved, the extent of savings varies significantly among families. This variation may be influenced by factors such as immediate financial needs, future planning, and income levels. Overall, the data highlights the importance of remittance in not only meeting daily expenses but also enabling recipients to save for future needs, thereby contributing to financial stability and resilience.</w:t>
      </w:r>
    </w:p>
    <w:tbl>
      <w:tblPr>
        <w:tblW w:w="8229" w:type="dxa"/>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794008" w:rsidRPr="00DC3B5B" w14:paraId="34A2E898" w14:textId="77777777" w:rsidTr="00794008">
        <w:trPr>
          <w:cantSplit/>
        </w:trPr>
        <w:tc>
          <w:tcPr>
            <w:tcW w:w="8229" w:type="dxa"/>
            <w:gridSpan w:val="6"/>
            <w:tcBorders>
              <w:bottom w:val="single" w:sz="4" w:space="0" w:color="auto"/>
            </w:tcBorders>
            <w:shd w:val="clear" w:color="auto" w:fill="auto"/>
            <w:vAlign w:val="center"/>
          </w:tcPr>
          <w:p w14:paraId="7FCE9E7C" w14:textId="77777777" w:rsidR="00794008" w:rsidRPr="00DC3B5B" w:rsidRDefault="00794008" w:rsidP="00326751">
            <w:pPr>
              <w:jc w:val="center"/>
            </w:pPr>
            <w:r w:rsidRPr="00DC3B5B">
              <w:t>How much of the remittance is invested?</w:t>
            </w:r>
          </w:p>
        </w:tc>
      </w:tr>
      <w:tr w:rsidR="00794008" w:rsidRPr="00FB76B7" w14:paraId="0C087A9D" w14:textId="77777777" w:rsidTr="00794008">
        <w:trPr>
          <w:cantSplit/>
        </w:trPr>
        <w:tc>
          <w:tcPr>
            <w:tcW w:w="3182" w:type="dxa"/>
            <w:gridSpan w:val="2"/>
            <w:tcBorders>
              <w:top w:val="single" w:sz="4" w:space="0" w:color="auto"/>
              <w:bottom w:val="single" w:sz="4" w:space="0" w:color="auto"/>
            </w:tcBorders>
            <w:shd w:val="clear" w:color="auto" w:fill="auto"/>
            <w:vAlign w:val="bottom"/>
          </w:tcPr>
          <w:p w14:paraId="68C1D846" w14:textId="77777777" w:rsidR="00794008" w:rsidRPr="00FB76B7" w:rsidRDefault="00794008"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6F92D316"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6EB8F524"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48A1538C"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700F0A3B"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794008" w:rsidRPr="00FB76B7" w14:paraId="30774B2A" w14:textId="77777777" w:rsidTr="00794008">
        <w:trPr>
          <w:cantSplit/>
        </w:trPr>
        <w:tc>
          <w:tcPr>
            <w:tcW w:w="734" w:type="dxa"/>
            <w:vMerge w:val="restart"/>
            <w:tcBorders>
              <w:top w:val="single" w:sz="4" w:space="0" w:color="auto"/>
            </w:tcBorders>
            <w:shd w:val="clear" w:color="auto" w:fill="auto"/>
          </w:tcPr>
          <w:p w14:paraId="3C549235"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4" w:space="0" w:color="auto"/>
            </w:tcBorders>
            <w:shd w:val="clear" w:color="auto" w:fill="auto"/>
          </w:tcPr>
          <w:p w14:paraId="1379C570"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little (Less than 25%)</w:t>
            </w:r>
          </w:p>
        </w:tc>
        <w:tc>
          <w:tcPr>
            <w:tcW w:w="1162" w:type="dxa"/>
            <w:tcBorders>
              <w:top w:val="single" w:sz="4" w:space="0" w:color="auto"/>
            </w:tcBorders>
            <w:shd w:val="clear" w:color="auto" w:fill="auto"/>
          </w:tcPr>
          <w:p w14:paraId="4198066C"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85</w:t>
            </w:r>
          </w:p>
        </w:tc>
        <w:tc>
          <w:tcPr>
            <w:tcW w:w="1024" w:type="dxa"/>
            <w:tcBorders>
              <w:top w:val="single" w:sz="4" w:space="0" w:color="auto"/>
            </w:tcBorders>
            <w:shd w:val="clear" w:color="auto" w:fill="auto"/>
          </w:tcPr>
          <w:p w14:paraId="003B219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54.5</w:t>
            </w:r>
          </w:p>
        </w:tc>
        <w:tc>
          <w:tcPr>
            <w:tcW w:w="1392" w:type="dxa"/>
            <w:tcBorders>
              <w:top w:val="single" w:sz="4" w:space="0" w:color="auto"/>
            </w:tcBorders>
            <w:shd w:val="clear" w:color="auto" w:fill="auto"/>
          </w:tcPr>
          <w:p w14:paraId="7783AAB0"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54.5</w:t>
            </w:r>
          </w:p>
        </w:tc>
        <w:tc>
          <w:tcPr>
            <w:tcW w:w="1469" w:type="dxa"/>
            <w:tcBorders>
              <w:top w:val="single" w:sz="4" w:space="0" w:color="auto"/>
            </w:tcBorders>
            <w:shd w:val="clear" w:color="auto" w:fill="auto"/>
          </w:tcPr>
          <w:p w14:paraId="11381B2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54.5</w:t>
            </w:r>
          </w:p>
        </w:tc>
      </w:tr>
      <w:tr w:rsidR="00794008" w:rsidRPr="00FB76B7" w14:paraId="524DAA79" w14:textId="77777777" w:rsidTr="00794008">
        <w:trPr>
          <w:cantSplit/>
        </w:trPr>
        <w:tc>
          <w:tcPr>
            <w:tcW w:w="734" w:type="dxa"/>
            <w:vMerge/>
            <w:shd w:val="clear" w:color="auto" w:fill="auto"/>
          </w:tcPr>
          <w:p w14:paraId="6B8B5E7A"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5CB44E74"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Little (25-50%)</w:t>
            </w:r>
          </w:p>
        </w:tc>
        <w:tc>
          <w:tcPr>
            <w:tcW w:w="1162" w:type="dxa"/>
            <w:shd w:val="clear" w:color="auto" w:fill="auto"/>
          </w:tcPr>
          <w:p w14:paraId="0C3293C8"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29</w:t>
            </w:r>
          </w:p>
        </w:tc>
        <w:tc>
          <w:tcPr>
            <w:tcW w:w="1024" w:type="dxa"/>
            <w:shd w:val="clear" w:color="auto" w:fill="auto"/>
          </w:tcPr>
          <w:p w14:paraId="0B5C18C1"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18.6</w:t>
            </w:r>
          </w:p>
        </w:tc>
        <w:tc>
          <w:tcPr>
            <w:tcW w:w="1392" w:type="dxa"/>
            <w:shd w:val="clear" w:color="auto" w:fill="auto"/>
          </w:tcPr>
          <w:p w14:paraId="672E6752"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18.6</w:t>
            </w:r>
          </w:p>
        </w:tc>
        <w:tc>
          <w:tcPr>
            <w:tcW w:w="1469" w:type="dxa"/>
            <w:shd w:val="clear" w:color="auto" w:fill="auto"/>
          </w:tcPr>
          <w:p w14:paraId="7A3EB25E"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73.1</w:t>
            </w:r>
          </w:p>
        </w:tc>
      </w:tr>
      <w:tr w:rsidR="00794008" w:rsidRPr="00FB76B7" w14:paraId="0CE03D66" w14:textId="77777777" w:rsidTr="00794008">
        <w:trPr>
          <w:cantSplit/>
        </w:trPr>
        <w:tc>
          <w:tcPr>
            <w:tcW w:w="734" w:type="dxa"/>
            <w:vMerge/>
            <w:shd w:val="clear" w:color="auto" w:fill="auto"/>
          </w:tcPr>
          <w:p w14:paraId="0891B435"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58BB1D55"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Moderate (51-75%)</w:t>
            </w:r>
          </w:p>
        </w:tc>
        <w:tc>
          <w:tcPr>
            <w:tcW w:w="1162" w:type="dxa"/>
            <w:shd w:val="clear" w:color="auto" w:fill="auto"/>
          </w:tcPr>
          <w:p w14:paraId="1D613C0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18</w:t>
            </w:r>
          </w:p>
        </w:tc>
        <w:tc>
          <w:tcPr>
            <w:tcW w:w="1024" w:type="dxa"/>
            <w:shd w:val="clear" w:color="auto" w:fill="auto"/>
          </w:tcPr>
          <w:p w14:paraId="364936A2"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11.5</w:t>
            </w:r>
          </w:p>
        </w:tc>
        <w:tc>
          <w:tcPr>
            <w:tcW w:w="1392" w:type="dxa"/>
            <w:shd w:val="clear" w:color="auto" w:fill="auto"/>
          </w:tcPr>
          <w:p w14:paraId="31C1A704"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11.5</w:t>
            </w:r>
          </w:p>
        </w:tc>
        <w:tc>
          <w:tcPr>
            <w:tcW w:w="1469" w:type="dxa"/>
            <w:shd w:val="clear" w:color="auto" w:fill="auto"/>
          </w:tcPr>
          <w:p w14:paraId="6D3106D6"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84.6</w:t>
            </w:r>
          </w:p>
        </w:tc>
      </w:tr>
      <w:tr w:rsidR="00794008" w:rsidRPr="00FB76B7" w14:paraId="5A10E306" w14:textId="77777777" w:rsidTr="00794008">
        <w:trPr>
          <w:cantSplit/>
        </w:trPr>
        <w:tc>
          <w:tcPr>
            <w:tcW w:w="734" w:type="dxa"/>
            <w:vMerge/>
            <w:shd w:val="clear" w:color="auto" w:fill="auto"/>
          </w:tcPr>
          <w:p w14:paraId="11A03D10"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4B533B78"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High (More than 75%)</w:t>
            </w:r>
          </w:p>
        </w:tc>
        <w:tc>
          <w:tcPr>
            <w:tcW w:w="1162" w:type="dxa"/>
            <w:shd w:val="clear" w:color="auto" w:fill="auto"/>
          </w:tcPr>
          <w:p w14:paraId="531D4E5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24</w:t>
            </w:r>
          </w:p>
        </w:tc>
        <w:tc>
          <w:tcPr>
            <w:tcW w:w="1024" w:type="dxa"/>
            <w:shd w:val="clear" w:color="auto" w:fill="auto"/>
          </w:tcPr>
          <w:p w14:paraId="265296E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15.4</w:t>
            </w:r>
          </w:p>
        </w:tc>
        <w:tc>
          <w:tcPr>
            <w:tcW w:w="1392" w:type="dxa"/>
            <w:shd w:val="clear" w:color="auto" w:fill="auto"/>
          </w:tcPr>
          <w:p w14:paraId="4974D498"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15.4</w:t>
            </w:r>
          </w:p>
        </w:tc>
        <w:tc>
          <w:tcPr>
            <w:tcW w:w="1469" w:type="dxa"/>
            <w:shd w:val="clear" w:color="auto" w:fill="auto"/>
          </w:tcPr>
          <w:p w14:paraId="220CA48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794008" w:rsidRPr="00FB76B7" w14:paraId="0BEFF247" w14:textId="77777777" w:rsidTr="00794008">
        <w:trPr>
          <w:cantSplit/>
        </w:trPr>
        <w:tc>
          <w:tcPr>
            <w:tcW w:w="734" w:type="dxa"/>
            <w:vMerge/>
            <w:tcBorders>
              <w:bottom w:val="single" w:sz="4" w:space="0" w:color="auto"/>
            </w:tcBorders>
            <w:shd w:val="clear" w:color="auto" w:fill="auto"/>
          </w:tcPr>
          <w:p w14:paraId="54E2536A"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tcBorders>
              <w:bottom w:val="single" w:sz="4" w:space="0" w:color="auto"/>
            </w:tcBorders>
            <w:shd w:val="clear" w:color="auto" w:fill="auto"/>
          </w:tcPr>
          <w:p w14:paraId="09A6FB7A"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tcBorders>
              <w:bottom w:val="single" w:sz="4" w:space="0" w:color="auto"/>
            </w:tcBorders>
            <w:shd w:val="clear" w:color="auto" w:fill="auto"/>
          </w:tcPr>
          <w:p w14:paraId="660A355C"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tcBorders>
              <w:bottom w:val="single" w:sz="4" w:space="0" w:color="auto"/>
            </w:tcBorders>
            <w:shd w:val="clear" w:color="auto" w:fill="auto"/>
          </w:tcPr>
          <w:p w14:paraId="30ADF38C"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2" w:type="dxa"/>
            <w:tcBorders>
              <w:bottom w:val="single" w:sz="4" w:space="0" w:color="auto"/>
            </w:tcBorders>
            <w:shd w:val="clear" w:color="auto" w:fill="auto"/>
          </w:tcPr>
          <w:p w14:paraId="1C6515A2"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tcBorders>
              <w:bottom w:val="single" w:sz="4" w:space="0" w:color="auto"/>
            </w:tcBorders>
            <w:shd w:val="clear" w:color="auto" w:fill="auto"/>
            <w:vAlign w:val="center"/>
          </w:tcPr>
          <w:p w14:paraId="6CFB9E2C" w14:textId="77777777" w:rsidR="00794008" w:rsidRPr="00FB76B7" w:rsidRDefault="00794008" w:rsidP="007B1BDB">
            <w:pPr>
              <w:autoSpaceDE w:val="0"/>
              <w:autoSpaceDN w:val="0"/>
              <w:adjustRightInd w:val="0"/>
              <w:spacing w:after="0" w:line="360" w:lineRule="auto"/>
              <w:jc w:val="left"/>
              <w:rPr>
                <w:rFonts w:cs="Times New Roman"/>
                <w:szCs w:val="24"/>
              </w:rPr>
            </w:pPr>
          </w:p>
        </w:tc>
      </w:tr>
    </w:tbl>
    <w:p w14:paraId="154ADE83" w14:textId="1D0D2C92" w:rsidR="00B258E7" w:rsidRDefault="00B258E7"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Fig-4.14: Percentage of remittance invested</w:t>
      </w:r>
    </w:p>
    <w:p w14:paraId="05BCEA93" w14:textId="613A5139"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A study assessing the investment of remittance funds provides insight into how recipients allocate their financial resources. Among 156 respondents, a majority, 54.5%, reported investing very little (less than 25%) of their remittance. Another 18.6% indicated that a little (25-50%) of their remittance is directed towards investments. Furthermore, 11.5% of the participants stated that a moderate amount (51-75%) of their remittance is invested. Lastly, 15.4% of the respondents mentioned investing a high amount (more than 75%) of their remittance.</w:t>
      </w:r>
    </w:p>
    <w:p w14:paraId="3B7FC33F" w14:textId="2531D356" w:rsid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 xml:space="preserve">This distribution reveals that while some remittance recipients prioritize investment, the majority invest only a small portion of their funds. The varying levels of investment may be influenced by factors such as financial literacy, access to investment </w:t>
      </w:r>
      <w:r w:rsidRPr="00794008">
        <w:rPr>
          <w:rFonts w:eastAsia="Times New Roman" w:cs="Times New Roman"/>
          <w:color w:val="auto"/>
          <w:szCs w:val="24"/>
        </w:rPr>
        <w:lastRenderedPageBreak/>
        <w:t>opportunities, and immediate economic needs. Overall, the data underscores the critical role of remittance in providing not just for daily needs but also in enabling investments that can potentially enhance long-term financial stability and economic growth for recipients and their families.</w:t>
      </w:r>
    </w:p>
    <w:tbl>
      <w:tblPr>
        <w:tblW w:w="822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794008" w:rsidRPr="00DC3B5B" w14:paraId="48C40674" w14:textId="77777777" w:rsidTr="00794008">
        <w:trPr>
          <w:cantSplit/>
        </w:trPr>
        <w:tc>
          <w:tcPr>
            <w:tcW w:w="8229" w:type="dxa"/>
            <w:gridSpan w:val="6"/>
            <w:tcBorders>
              <w:bottom w:val="single" w:sz="4" w:space="0" w:color="auto"/>
            </w:tcBorders>
            <w:shd w:val="clear" w:color="auto" w:fill="auto"/>
            <w:vAlign w:val="center"/>
          </w:tcPr>
          <w:p w14:paraId="2E8894DF" w14:textId="77777777" w:rsidR="00794008" w:rsidRPr="00DC3B5B" w:rsidRDefault="00794008" w:rsidP="00326751">
            <w:pPr>
              <w:jc w:val="center"/>
            </w:pPr>
            <w:r w:rsidRPr="00DC3B5B">
              <w:t>How much of the remittance is used for debt repayment?</w:t>
            </w:r>
          </w:p>
        </w:tc>
      </w:tr>
      <w:tr w:rsidR="00794008" w:rsidRPr="00FB76B7" w14:paraId="7CD31795" w14:textId="77777777" w:rsidTr="00794008">
        <w:trPr>
          <w:cantSplit/>
        </w:trPr>
        <w:tc>
          <w:tcPr>
            <w:tcW w:w="3182" w:type="dxa"/>
            <w:gridSpan w:val="2"/>
            <w:tcBorders>
              <w:top w:val="single" w:sz="4" w:space="0" w:color="auto"/>
              <w:bottom w:val="single" w:sz="4" w:space="0" w:color="auto"/>
            </w:tcBorders>
            <w:shd w:val="clear" w:color="auto" w:fill="auto"/>
            <w:vAlign w:val="bottom"/>
          </w:tcPr>
          <w:p w14:paraId="23386902" w14:textId="77777777" w:rsidR="00794008" w:rsidRPr="00FB76B7" w:rsidRDefault="00794008"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46213589"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030FB160"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0C1452DF"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02BBE1D3"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794008" w:rsidRPr="00FB76B7" w14:paraId="7F0A405A" w14:textId="77777777" w:rsidTr="00794008">
        <w:trPr>
          <w:cantSplit/>
        </w:trPr>
        <w:tc>
          <w:tcPr>
            <w:tcW w:w="734" w:type="dxa"/>
            <w:vMerge w:val="restart"/>
            <w:tcBorders>
              <w:top w:val="single" w:sz="4" w:space="0" w:color="auto"/>
            </w:tcBorders>
            <w:shd w:val="clear" w:color="auto" w:fill="auto"/>
          </w:tcPr>
          <w:p w14:paraId="493CAC11"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4" w:space="0" w:color="auto"/>
            </w:tcBorders>
            <w:shd w:val="clear" w:color="auto" w:fill="auto"/>
          </w:tcPr>
          <w:p w14:paraId="37A1D248"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little (Less than 25%)</w:t>
            </w:r>
          </w:p>
        </w:tc>
        <w:tc>
          <w:tcPr>
            <w:tcW w:w="1162" w:type="dxa"/>
            <w:tcBorders>
              <w:top w:val="single" w:sz="4" w:space="0" w:color="auto"/>
            </w:tcBorders>
            <w:shd w:val="clear" w:color="auto" w:fill="auto"/>
          </w:tcPr>
          <w:p w14:paraId="560CE048"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51</w:t>
            </w:r>
          </w:p>
        </w:tc>
        <w:tc>
          <w:tcPr>
            <w:tcW w:w="1024" w:type="dxa"/>
            <w:tcBorders>
              <w:top w:val="single" w:sz="4" w:space="0" w:color="auto"/>
            </w:tcBorders>
            <w:shd w:val="clear" w:color="auto" w:fill="auto"/>
          </w:tcPr>
          <w:p w14:paraId="470518F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32.7</w:t>
            </w:r>
          </w:p>
        </w:tc>
        <w:tc>
          <w:tcPr>
            <w:tcW w:w="1392" w:type="dxa"/>
            <w:tcBorders>
              <w:top w:val="single" w:sz="4" w:space="0" w:color="auto"/>
            </w:tcBorders>
            <w:shd w:val="clear" w:color="auto" w:fill="auto"/>
          </w:tcPr>
          <w:p w14:paraId="299BFB1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32.7</w:t>
            </w:r>
          </w:p>
        </w:tc>
        <w:tc>
          <w:tcPr>
            <w:tcW w:w="1469" w:type="dxa"/>
            <w:tcBorders>
              <w:top w:val="single" w:sz="4" w:space="0" w:color="auto"/>
            </w:tcBorders>
            <w:shd w:val="clear" w:color="auto" w:fill="auto"/>
          </w:tcPr>
          <w:p w14:paraId="5FFCC47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32.7</w:t>
            </w:r>
          </w:p>
        </w:tc>
      </w:tr>
      <w:tr w:rsidR="00794008" w:rsidRPr="00FB76B7" w14:paraId="180D3876" w14:textId="77777777" w:rsidTr="00794008">
        <w:trPr>
          <w:cantSplit/>
        </w:trPr>
        <w:tc>
          <w:tcPr>
            <w:tcW w:w="734" w:type="dxa"/>
            <w:vMerge/>
            <w:shd w:val="clear" w:color="auto" w:fill="auto"/>
          </w:tcPr>
          <w:p w14:paraId="4753BA33"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721B19F4"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Little (25-50%)</w:t>
            </w:r>
          </w:p>
        </w:tc>
        <w:tc>
          <w:tcPr>
            <w:tcW w:w="1162" w:type="dxa"/>
            <w:shd w:val="clear" w:color="auto" w:fill="auto"/>
          </w:tcPr>
          <w:p w14:paraId="14BFA745"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w:t>
            </w:r>
          </w:p>
        </w:tc>
        <w:tc>
          <w:tcPr>
            <w:tcW w:w="1024" w:type="dxa"/>
            <w:shd w:val="clear" w:color="auto" w:fill="auto"/>
          </w:tcPr>
          <w:p w14:paraId="1780BED6"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23.1</w:t>
            </w:r>
          </w:p>
        </w:tc>
        <w:tc>
          <w:tcPr>
            <w:tcW w:w="1392" w:type="dxa"/>
            <w:shd w:val="clear" w:color="auto" w:fill="auto"/>
          </w:tcPr>
          <w:p w14:paraId="4125D722"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23.1</w:t>
            </w:r>
          </w:p>
        </w:tc>
        <w:tc>
          <w:tcPr>
            <w:tcW w:w="1469" w:type="dxa"/>
            <w:shd w:val="clear" w:color="auto" w:fill="auto"/>
          </w:tcPr>
          <w:p w14:paraId="63BB007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55.8</w:t>
            </w:r>
          </w:p>
        </w:tc>
      </w:tr>
      <w:tr w:rsidR="00794008" w:rsidRPr="00FB76B7" w14:paraId="5127CE9C" w14:textId="77777777" w:rsidTr="00794008">
        <w:trPr>
          <w:cantSplit/>
        </w:trPr>
        <w:tc>
          <w:tcPr>
            <w:tcW w:w="734" w:type="dxa"/>
            <w:vMerge/>
            <w:shd w:val="clear" w:color="auto" w:fill="auto"/>
          </w:tcPr>
          <w:p w14:paraId="4E3BC3EF"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65D88316"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Moderate (51-75%)</w:t>
            </w:r>
          </w:p>
        </w:tc>
        <w:tc>
          <w:tcPr>
            <w:tcW w:w="1162" w:type="dxa"/>
            <w:shd w:val="clear" w:color="auto" w:fill="auto"/>
          </w:tcPr>
          <w:p w14:paraId="3E29C5F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41</w:t>
            </w:r>
          </w:p>
        </w:tc>
        <w:tc>
          <w:tcPr>
            <w:tcW w:w="1024" w:type="dxa"/>
            <w:shd w:val="clear" w:color="auto" w:fill="auto"/>
          </w:tcPr>
          <w:p w14:paraId="639CB945"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26.3</w:t>
            </w:r>
          </w:p>
        </w:tc>
        <w:tc>
          <w:tcPr>
            <w:tcW w:w="1392" w:type="dxa"/>
            <w:shd w:val="clear" w:color="auto" w:fill="auto"/>
          </w:tcPr>
          <w:p w14:paraId="0E7C87C7"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26.3</w:t>
            </w:r>
          </w:p>
        </w:tc>
        <w:tc>
          <w:tcPr>
            <w:tcW w:w="1469" w:type="dxa"/>
            <w:shd w:val="clear" w:color="auto" w:fill="auto"/>
          </w:tcPr>
          <w:p w14:paraId="5A718C7F"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82.1</w:t>
            </w:r>
          </w:p>
        </w:tc>
      </w:tr>
      <w:tr w:rsidR="00794008" w:rsidRPr="00FB76B7" w14:paraId="6B0BB536" w14:textId="77777777" w:rsidTr="00794008">
        <w:trPr>
          <w:cantSplit/>
        </w:trPr>
        <w:tc>
          <w:tcPr>
            <w:tcW w:w="734" w:type="dxa"/>
            <w:vMerge/>
            <w:shd w:val="clear" w:color="auto" w:fill="auto"/>
          </w:tcPr>
          <w:p w14:paraId="7F2E14C7"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25E01BE4"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High (More than 75%)</w:t>
            </w:r>
          </w:p>
        </w:tc>
        <w:tc>
          <w:tcPr>
            <w:tcW w:w="1162" w:type="dxa"/>
            <w:shd w:val="clear" w:color="auto" w:fill="auto"/>
          </w:tcPr>
          <w:p w14:paraId="219ACE9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28</w:t>
            </w:r>
          </w:p>
        </w:tc>
        <w:tc>
          <w:tcPr>
            <w:tcW w:w="1024" w:type="dxa"/>
            <w:shd w:val="clear" w:color="auto" w:fill="auto"/>
          </w:tcPr>
          <w:p w14:paraId="4AF3A196"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17.9</w:t>
            </w:r>
          </w:p>
        </w:tc>
        <w:tc>
          <w:tcPr>
            <w:tcW w:w="1392" w:type="dxa"/>
            <w:shd w:val="clear" w:color="auto" w:fill="auto"/>
          </w:tcPr>
          <w:p w14:paraId="7F8ADC91"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17.9</w:t>
            </w:r>
          </w:p>
        </w:tc>
        <w:tc>
          <w:tcPr>
            <w:tcW w:w="1469" w:type="dxa"/>
            <w:shd w:val="clear" w:color="auto" w:fill="auto"/>
          </w:tcPr>
          <w:p w14:paraId="0D3CA828"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794008" w:rsidRPr="00FB76B7" w14:paraId="602E5861" w14:textId="77777777" w:rsidTr="00794008">
        <w:trPr>
          <w:cantSplit/>
        </w:trPr>
        <w:tc>
          <w:tcPr>
            <w:tcW w:w="734" w:type="dxa"/>
            <w:vMerge/>
            <w:shd w:val="clear" w:color="auto" w:fill="auto"/>
          </w:tcPr>
          <w:p w14:paraId="3B33B8AD"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4A409997"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shd w:val="clear" w:color="auto" w:fill="auto"/>
          </w:tcPr>
          <w:p w14:paraId="2B512068"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shd w:val="clear" w:color="auto" w:fill="auto"/>
          </w:tcPr>
          <w:p w14:paraId="6254F47F"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2" w:type="dxa"/>
            <w:shd w:val="clear" w:color="auto" w:fill="auto"/>
          </w:tcPr>
          <w:p w14:paraId="7034873F"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shd w:val="clear" w:color="auto" w:fill="auto"/>
            <w:vAlign w:val="center"/>
          </w:tcPr>
          <w:p w14:paraId="2A35774C" w14:textId="77777777" w:rsidR="00794008" w:rsidRPr="00FB76B7" w:rsidRDefault="00794008" w:rsidP="007B1BDB">
            <w:pPr>
              <w:autoSpaceDE w:val="0"/>
              <w:autoSpaceDN w:val="0"/>
              <w:adjustRightInd w:val="0"/>
              <w:spacing w:after="0" w:line="360" w:lineRule="auto"/>
              <w:jc w:val="left"/>
              <w:rPr>
                <w:rFonts w:cs="Times New Roman"/>
                <w:szCs w:val="24"/>
              </w:rPr>
            </w:pPr>
          </w:p>
        </w:tc>
      </w:tr>
    </w:tbl>
    <w:p w14:paraId="42C2517A" w14:textId="0EC26DA0" w:rsidR="005B6C60" w:rsidRDefault="005B6C60"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Fig-4.15: percentage of remittance used for debt repayment</w:t>
      </w:r>
    </w:p>
    <w:p w14:paraId="3EAC254A" w14:textId="6041435E"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Among the 156 respondents, 32.7% reported using very little (less than 25%) of their remittance for debt repayment. Another 23.1% indicated that a little (25-50%) of their remittance is used to pay off debts. Additionally, 26.3% of the participants stated that a moderate amount (51-75%) of their remittance goes towards repaying debts. Finally, 17.9% of the respondents mentioned using a high amount (more than 75%) of their remittance for this purpose.</w:t>
      </w:r>
    </w:p>
    <w:p w14:paraId="6D1F59C7" w14:textId="7291F1BC" w:rsid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This distribution indicates that debt repayment is a significant concern for many remittance recipients, with a considerable portion of their funds being allocated to managing and reducing debt. The variation in the extent of debt repayment reflects the differing financial pressures and debt levels among families. Overall, the data highlights the critical role of remittance in alleviating debt burdens, contributing to the financial stability and well-being of recipients and their households.</w:t>
      </w:r>
    </w:p>
    <w:tbl>
      <w:tblPr>
        <w:tblW w:w="8229" w:type="dxa"/>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794008" w:rsidRPr="00DC3B5B" w14:paraId="096586A6" w14:textId="77777777" w:rsidTr="00794008">
        <w:trPr>
          <w:cantSplit/>
        </w:trPr>
        <w:tc>
          <w:tcPr>
            <w:tcW w:w="8229" w:type="dxa"/>
            <w:gridSpan w:val="6"/>
            <w:tcBorders>
              <w:top w:val="single" w:sz="4" w:space="0" w:color="auto"/>
              <w:bottom w:val="single" w:sz="4" w:space="0" w:color="auto"/>
            </w:tcBorders>
            <w:shd w:val="clear" w:color="auto" w:fill="auto"/>
            <w:vAlign w:val="center"/>
          </w:tcPr>
          <w:p w14:paraId="167108A6" w14:textId="77777777" w:rsidR="00794008" w:rsidRPr="00DC3B5B" w:rsidRDefault="00794008" w:rsidP="00326751">
            <w:pPr>
              <w:jc w:val="center"/>
            </w:pPr>
            <w:r w:rsidRPr="00DC3B5B">
              <w:t>How much of the remittance is used for social and cultural expenditures (weddings, festivals)?</w:t>
            </w:r>
          </w:p>
        </w:tc>
      </w:tr>
      <w:tr w:rsidR="00794008" w:rsidRPr="00FB76B7" w14:paraId="70F7753F" w14:textId="77777777" w:rsidTr="00794008">
        <w:trPr>
          <w:cantSplit/>
        </w:trPr>
        <w:tc>
          <w:tcPr>
            <w:tcW w:w="3182" w:type="dxa"/>
            <w:gridSpan w:val="2"/>
            <w:tcBorders>
              <w:top w:val="single" w:sz="4" w:space="0" w:color="auto"/>
              <w:bottom w:val="single" w:sz="4" w:space="0" w:color="auto"/>
            </w:tcBorders>
            <w:shd w:val="clear" w:color="auto" w:fill="auto"/>
            <w:vAlign w:val="bottom"/>
          </w:tcPr>
          <w:p w14:paraId="16EB4694" w14:textId="77777777" w:rsidR="00794008" w:rsidRPr="00FB76B7" w:rsidRDefault="00794008"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5AFF5F0D"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11EE53E9"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7F15D17B"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03125299"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794008" w:rsidRPr="00FB76B7" w14:paraId="6221F35C" w14:textId="77777777" w:rsidTr="00794008">
        <w:trPr>
          <w:cantSplit/>
        </w:trPr>
        <w:tc>
          <w:tcPr>
            <w:tcW w:w="734" w:type="dxa"/>
            <w:vMerge w:val="restart"/>
            <w:tcBorders>
              <w:top w:val="single" w:sz="4" w:space="0" w:color="auto"/>
            </w:tcBorders>
            <w:shd w:val="clear" w:color="auto" w:fill="auto"/>
          </w:tcPr>
          <w:p w14:paraId="6059DE89"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4" w:space="0" w:color="auto"/>
            </w:tcBorders>
            <w:shd w:val="clear" w:color="auto" w:fill="auto"/>
          </w:tcPr>
          <w:p w14:paraId="72BB06DB"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little (Less than 25%)</w:t>
            </w:r>
          </w:p>
        </w:tc>
        <w:tc>
          <w:tcPr>
            <w:tcW w:w="1162" w:type="dxa"/>
            <w:tcBorders>
              <w:top w:val="single" w:sz="4" w:space="0" w:color="auto"/>
            </w:tcBorders>
            <w:shd w:val="clear" w:color="auto" w:fill="auto"/>
          </w:tcPr>
          <w:p w14:paraId="0C02FEA4"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49</w:t>
            </w:r>
          </w:p>
        </w:tc>
        <w:tc>
          <w:tcPr>
            <w:tcW w:w="1024" w:type="dxa"/>
            <w:tcBorders>
              <w:top w:val="single" w:sz="4" w:space="0" w:color="auto"/>
            </w:tcBorders>
            <w:shd w:val="clear" w:color="auto" w:fill="auto"/>
          </w:tcPr>
          <w:p w14:paraId="69EF8F7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31.4</w:t>
            </w:r>
          </w:p>
        </w:tc>
        <w:tc>
          <w:tcPr>
            <w:tcW w:w="1392" w:type="dxa"/>
            <w:tcBorders>
              <w:top w:val="single" w:sz="4" w:space="0" w:color="auto"/>
            </w:tcBorders>
            <w:shd w:val="clear" w:color="auto" w:fill="auto"/>
          </w:tcPr>
          <w:p w14:paraId="265F1F9F"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31.4</w:t>
            </w:r>
          </w:p>
        </w:tc>
        <w:tc>
          <w:tcPr>
            <w:tcW w:w="1469" w:type="dxa"/>
            <w:tcBorders>
              <w:top w:val="single" w:sz="4" w:space="0" w:color="auto"/>
            </w:tcBorders>
            <w:shd w:val="clear" w:color="auto" w:fill="auto"/>
          </w:tcPr>
          <w:p w14:paraId="2A4CDF5E"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31.4</w:t>
            </w:r>
          </w:p>
        </w:tc>
      </w:tr>
      <w:tr w:rsidR="00794008" w:rsidRPr="00FB76B7" w14:paraId="5B838FEC" w14:textId="77777777" w:rsidTr="00794008">
        <w:trPr>
          <w:cantSplit/>
        </w:trPr>
        <w:tc>
          <w:tcPr>
            <w:tcW w:w="734" w:type="dxa"/>
            <w:vMerge/>
            <w:shd w:val="clear" w:color="auto" w:fill="auto"/>
          </w:tcPr>
          <w:p w14:paraId="4B8204EF"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56042FF8"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Little (25-50%)</w:t>
            </w:r>
          </w:p>
        </w:tc>
        <w:tc>
          <w:tcPr>
            <w:tcW w:w="1162" w:type="dxa"/>
            <w:shd w:val="clear" w:color="auto" w:fill="auto"/>
          </w:tcPr>
          <w:p w14:paraId="79B1338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57</w:t>
            </w:r>
          </w:p>
        </w:tc>
        <w:tc>
          <w:tcPr>
            <w:tcW w:w="1024" w:type="dxa"/>
            <w:shd w:val="clear" w:color="auto" w:fill="auto"/>
          </w:tcPr>
          <w:p w14:paraId="1E13AF1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36.5</w:t>
            </w:r>
          </w:p>
        </w:tc>
        <w:tc>
          <w:tcPr>
            <w:tcW w:w="1392" w:type="dxa"/>
            <w:shd w:val="clear" w:color="auto" w:fill="auto"/>
          </w:tcPr>
          <w:p w14:paraId="743103C2"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36.5</w:t>
            </w:r>
          </w:p>
        </w:tc>
        <w:tc>
          <w:tcPr>
            <w:tcW w:w="1469" w:type="dxa"/>
            <w:shd w:val="clear" w:color="auto" w:fill="auto"/>
          </w:tcPr>
          <w:p w14:paraId="176A13B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67.9</w:t>
            </w:r>
          </w:p>
        </w:tc>
      </w:tr>
      <w:tr w:rsidR="00794008" w:rsidRPr="00FB76B7" w14:paraId="7E4421EF" w14:textId="77777777" w:rsidTr="00794008">
        <w:trPr>
          <w:cantSplit/>
        </w:trPr>
        <w:tc>
          <w:tcPr>
            <w:tcW w:w="734" w:type="dxa"/>
            <w:vMerge/>
            <w:shd w:val="clear" w:color="auto" w:fill="auto"/>
          </w:tcPr>
          <w:p w14:paraId="61354A44"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546F045E"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Moderate (51-75%)</w:t>
            </w:r>
          </w:p>
        </w:tc>
        <w:tc>
          <w:tcPr>
            <w:tcW w:w="1162" w:type="dxa"/>
            <w:shd w:val="clear" w:color="auto" w:fill="auto"/>
          </w:tcPr>
          <w:p w14:paraId="4207790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41</w:t>
            </w:r>
          </w:p>
        </w:tc>
        <w:tc>
          <w:tcPr>
            <w:tcW w:w="1024" w:type="dxa"/>
            <w:shd w:val="clear" w:color="auto" w:fill="auto"/>
          </w:tcPr>
          <w:p w14:paraId="33BB6E3E"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26.3</w:t>
            </w:r>
          </w:p>
        </w:tc>
        <w:tc>
          <w:tcPr>
            <w:tcW w:w="1392" w:type="dxa"/>
            <w:shd w:val="clear" w:color="auto" w:fill="auto"/>
          </w:tcPr>
          <w:p w14:paraId="388112CC"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26.3</w:t>
            </w:r>
          </w:p>
        </w:tc>
        <w:tc>
          <w:tcPr>
            <w:tcW w:w="1469" w:type="dxa"/>
            <w:shd w:val="clear" w:color="auto" w:fill="auto"/>
          </w:tcPr>
          <w:p w14:paraId="4ABAE085"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94.2</w:t>
            </w:r>
          </w:p>
        </w:tc>
      </w:tr>
      <w:tr w:rsidR="00794008" w:rsidRPr="00FB76B7" w14:paraId="1A836CDF" w14:textId="77777777" w:rsidTr="00794008">
        <w:trPr>
          <w:cantSplit/>
        </w:trPr>
        <w:tc>
          <w:tcPr>
            <w:tcW w:w="734" w:type="dxa"/>
            <w:vMerge/>
            <w:shd w:val="clear" w:color="auto" w:fill="auto"/>
          </w:tcPr>
          <w:p w14:paraId="16D6C2F1"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4801476E"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High (More than 75%)</w:t>
            </w:r>
          </w:p>
        </w:tc>
        <w:tc>
          <w:tcPr>
            <w:tcW w:w="1162" w:type="dxa"/>
            <w:shd w:val="clear" w:color="auto" w:fill="auto"/>
          </w:tcPr>
          <w:p w14:paraId="741E236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9</w:t>
            </w:r>
          </w:p>
        </w:tc>
        <w:tc>
          <w:tcPr>
            <w:tcW w:w="1024" w:type="dxa"/>
            <w:shd w:val="clear" w:color="auto" w:fill="auto"/>
          </w:tcPr>
          <w:p w14:paraId="4341C59E"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5.8</w:t>
            </w:r>
          </w:p>
        </w:tc>
        <w:tc>
          <w:tcPr>
            <w:tcW w:w="1392" w:type="dxa"/>
            <w:shd w:val="clear" w:color="auto" w:fill="auto"/>
          </w:tcPr>
          <w:p w14:paraId="4D472114"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5.8</w:t>
            </w:r>
          </w:p>
        </w:tc>
        <w:tc>
          <w:tcPr>
            <w:tcW w:w="1469" w:type="dxa"/>
            <w:shd w:val="clear" w:color="auto" w:fill="auto"/>
          </w:tcPr>
          <w:p w14:paraId="3CCCDE92"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794008" w:rsidRPr="00FB76B7" w14:paraId="632F0C73" w14:textId="77777777" w:rsidTr="00794008">
        <w:trPr>
          <w:cantSplit/>
        </w:trPr>
        <w:tc>
          <w:tcPr>
            <w:tcW w:w="734" w:type="dxa"/>
            <w:vMerge/>
            <w:tcBorders>
              <w:bottom w:val="single" w:sz="4" w:space="0" w:color="auto"/>
            </w:tcBorders>
            <w:shd w:val="clear" w:color="auto" w:fill="auto"/>
          </w:tcPr>
          <w:p w14:paraId="3EF454B8"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tcBorders>
              <w:bottom w:val="single" w:sz="4" w:space="0" w:color="auto"/>
            </w:tcBorders>
            <w:shd w:val="clear" w:color="auto" w:fill="auto"/>
          </w:tcPr>
          <w:p w14:paraId="3E62E90A"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tcBorders>
              <w:bottom w:val="single" w:sz="4" w:space="0" w:color="auto"/>
            </w:tcBorders>
            <w:shd w:val="clear" w:color="auto" w:fill="auto"/>
          </w:tcPr>
          <w:p w14:paraId="7393086F"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tcBorders>
              <w:bottom w:val="single" w:sz="4" w:space="0" w:color="auto"/>
            </w:tcBorders>
            <w:shd w:val="clear" w:color="auto" w:fill="auto"/>
          </w:tcPr>
          <w:p w14:paraId="6AB7886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2" w:type="dxa"/>
            <w:tcBorders>
              <w:bottom w:val="single" w:sz="4" w:space="0" w:color="auto"/>
            </w:tcBorders>
            <w:shd w:val="clear" w:color="auto" w:fill="auto"/>
          </w:tcPr>
          <w:p w14:paraId="1DF9B26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tcBorders>
              <w:bottom w:val="single" w:sz="4" w:space="0" w:color="auto"/>
            </w:tcBorders>
            <w:shd w:val="clear" w:color="auto" w:fill="auto"/>
            <w:vAlign w:val="center"/>
          </w:tcPr>
          <w:p w14:paraId="0F3E46CE" w14:textId="77777777" w:rsidR="00794008" w:rsidRPr="00FB76B7" w:rsidRDefault="00794008" w:rsidP="007B1BDB">
            <w:pPr>
              <w:autoSpaceDE w:val="0"/>
              <w:autoSpaceDN w:val="0"/>
              <w:adjustRightInd w:val="0"/>
              <w:spacing w:after="0" w:line="360" w:lineRule="auto"/>
              <w:jc w:val="left"/>
              <w:rPr>
                <w:rFonts w:cs="Times New Roman"/>
                <w:szCs w:val="24"/>
              </w:rPr>
            </w:pPr>
          </w:p>
        </w:tc>
      </w:tr>
    </w:tbl>
    <w:p w14:paraId="6F4D42D3" w14:textId="346CC613" w:rsidR="004C1D67" w:rsidRDefault="004C1D67"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Fig-4.16: Percentage of remittance used for </w:t>
      </w:r>
      <w:r w:rsidRPr="00DC3B5B">
        <w:t>social and cultural expenditures</w:t>
      </w:r>
    </w:p>
    <w:p w14:paraId="040014E4" w14:textId="4082A6FE"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A study examining the allocation of remittance funds for social and cultural expenditures, such as weddings and festivals, reveals a range of spending habits among recipients. Among the 156 respondents, 31.4% reported spending very little (less than 25%) of their remittance on these types of expenditures. A larger group, 36.5%, indicated that a little (25-50%) of their remittance is used for social and cultural purposes. Additionally, 26.3% of the participants stated that a moderate amount (51-75%) of their remittance is spent on such activities. Finally, 5.8% of the respondents mentioned spending a high amount (more than 75%) on social and cultural expenditures.</w:t>
      </w:r>
    </w:p>
    <w:p w14:paraId="63F3AE42" w14:textId="419A2A8A" w:rsid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This distribution shows that while social and cultural events are important, the extent to which remittance funds are allocated to these activities varies widely. The variation may reflect differing cultural practices, financial priorities, and available resources among families. Overall, the data highlights the role of remittance in supporting not only basic and financial needs but also in maintaining and celebrating cultural traditions and social obligations.</w:t>
      </w:r>
    </w:p>
    <w:tbl>
      <w:tblPr>
        <w:tblW w:w="822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794008" w:rsidRPr="00DC3B5B" w14:paraId="29187B9D" w14:textId="77777777" w:rsidTr="00794008">
        <w:trPr>
          <w:cantSplit/>
        </w:trPr>
        <w:tc>
          <w:tcPr>
            <w:tcW w:w="8229" w:type="dxa"/>
            <w:gridSpan w:val="6"/>
            <w:tcBorders>
              <w:top w:val="single" w:sz="4" w:space="0" w:color="auto"/>
              <w:bottom w:val="single" w:sz="4" w:space="0" w:color="auto"/>
            </w:tcBorders>
            <w:shd w:val="clear" w:color="auto" w:fill="auto"/>
            <w:vAlign w:val="center"/>
          </w:tcPr>
          <w:p w14:paraId="2199ECA7" w14:textId="77777777" w:rsidR="00794008" w:rsidRPr="00DC3B5B" w:rsidRDefault="00794008" w:rsidP="00326751">
            <w:pPr>
              <w:jc w:val="center"/>
            </w:pPr>
            <w:r w:rsidRPr="00DC3B5B">
              <w:t>How much has your expenditure on health, education, and food increased before and after receiving remittance?</w:t>
            </w:r>
          </w:p>
        </w:tc>
      </w:tr>
      <w:tr w:rsidR="00794008" w:rsidRPr="00FB76B7" w14:paraId="739ED706" w14:textId="77777777" w:rsidTr="00794008">
        <w:trPr>
          <w:cantSplit/>
        </w:trPr>
        <w:tc>
          <w:tcPr>
            <w:tcW w:w="3182" w:type="dxa"/>
            <w:gridSpan w:val="2"/>
            <w:tcBorders>
              <w:top w:val="single" w:sz="4" w:space="0" w:color="auto"/>
              <w:bottom w:val="single" w:sz="4" w:space="0" w:color="auto"/>
            </w:tcBorders>
            <w:shd w:val="clear" w:color="auto" w:fill="auto"/>
            <w:vAlign w:val="bottom"/>
          </w:tcPr>
          <w:p w14:paraId="2B4B11AD" w14:textId="77777777" w:rsidR="00794008" w:rsidRPr="00FB76B7" w:rsidRDefault="00794008"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79F1D2F1"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4D365120"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37D30FEB"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3716754D" w14:textId="77777777" w:rsidR="00794008" w:rsidRPr="00FB76B7" w:rsidRDefault="00794008" w:rsidP="007B1BDB">
            <w:pPr>
              <w:autoSpaceDE w:val="0"/>
              <w:autoSpaceDN w:val="0"/>
              <w:adjustRightInd w:val="0"/>
              <w:spacing w:after="0" w:line="360" w:lineRule="auto"/>
              <w:ind w:left="60" w:right="60"/>
              <w:jc w:val="center"/>
              <w:rPr>
                <w:rFonts w:ascii="Arial" w:hAnsi="Arial" w:cs="Arial"/>
                <w:sz w:val="18"/>
                <w:szCs w:val="18"/>
              </w:rPr>
            </w:pPr>
            <w:r w:rsidRPr="00FB76B7">
              <w:rPr>
                <w:rFonts w:ascii="Arial" w:hAnsi="Arial" w:cs="Arial"/>
                <w:sz w:val="18"/>
                <w:szCs w:val="18"/>
              </w:rPr>
              <w:t>Cumulative Percent</w:t>
            </w:r>
          </w:p>
        </w:tc>
      </w:tr>
      <w:tr w:rsidR="00794008" w:rsidRPr="00FB76B7" w14:paraId="3AB5FED6" w14:textId="77777777" w:rsidTr="00794008">
        <w:trPr>
          <w:cantSplit/>
        </w:trPr>
        <w:tc>
          <w:tcPr>
            <w:tcW w:w="734" w:type="dxa"/>
            <w:vMerge w:val="restart"/>
            <w:tcBorders>
              <w:top w:val="single" w:sz="4" w:space="0" w:color="auto"/>
            </w:tcBorders>
            <w:shd w:val="clear" w:color="auto" w:fill="auto"/>
          </w:tcPr>
          <w:p w14:paraId="2FABE908"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4" w:space="0" w:color="auto"/>
            </w:tcBorders>
            <w:shd w:val="clear" w:color="auto" w:fill="auto"/>
          </w:tcPr>
          <w:p w14:paraId="7117A874"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Very little (Less than 25%)</w:t>
            </w:r>
          </w:p>
        </w:tc>
        <w:tc>
          <w:tcPr>
            <w:tcW w:w="1162" w:type="dxa"/>
            <w:tcBorders>
              <w:top w:val="single" w:sz="4" w:space="0" w:color="auto"/>
            </w:tcBorders>
            <w:shd w:val="clear" w:color="auto" w:fill="auto"/>
          </w:tcPr>
          <w:p w14:paraId="33A64E1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21</w:t>
            </w:r>
          </w:p>
        </w:tc>
        <w:tc>
          <w:tcPr>
            <w:tcW w:w="1024" w:type="dxa"/>
            <w:tcBorders>
              <w:top w:val="single" w:sz="4" w:space="0" w:color="auto"/>
            </w:tcBorders>
            <w:shd w:val="clear" w:color="auto" w:fill="auto"/>
          </w:tcPr>
          <w:p w14:paraId="0E0ED48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13.5</w:t>
            </w:r>
          </w:p>
        </w:tc>
        <w:tc>
          <w:tcPr>
            <w:tcW w:w="1392" w:type="dxa"/>
            <w:tcBorders>
              <w:top w:val="single" w:sz="4" w:space="0" w:color="auto"/>
            </w:tcBorders>
            <w:shd w:val="clear" w:color="auto" w:fill="auto"/>
          </w:tcPr>
          <w:p w14:paraId="69FCD2ED"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13.5</w:t>
            </w:r>
          </w:p>
        </w:tc>
        <w:tc>
          <w:tcPr>
            <w:tcW w:w="1469" w:type="dxa"/>
            <w:tcBorders>
              <w:top w:val="single" w:sz="4" w:space="0" w:color="auto"/>
            </w:tcBorders>
            <w:shd w:val="clear" w:color="auto" w:fill="auto"/>
          </w:tcPr>
          <w:p w14:paraId="2334C6A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13.5</w:t>
            </w:r>
          </w:p>
        </w:tc>
      </w:tr>
      <w:tr w:rsidR="00794008" w:rsidRPr="00FB76B7" w14:paraId="04549A37" w14:textId="77777777" w:rsidTr="00794008">
        <w:trPr>
          <w:cantSplit/>
        </w:trPr>
        <w:tc>
          <w:tcPr>
            <w:tcW w:w="734" w:type="dxa"/>
            <w:vMerge/>
            <w:shd w:val="clear" w:color="auto" w:fill="auto"/>
          </w:tcPr>
          <w:p w14:paraId="72FE2F7B"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1C70766D"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Little (25-50%)</w:t>
            </w:r>
          </w:p>
        </w:tc>
        <w:tc>
          <w:tcPr>
            <w:tcW w:w="1162" w:type="dxa"/>
            <w:shd w:val="clear" w:color="auto" w:fill="auto"/>
          </w:tcPr>
          <w:p w14:paraId="217BE71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32</w:t>
            </w:r>
          </w:p>
        </w:tc>
        <w:tc>
          <w:tcPr>
            <w:tcW w:w="1024" w:type="dxa"/>
            <w:shd w:val="clear" w:color="auto" w:fill="auto"/>
          </w:tcPr>
          <w:p w14:paraId="295C9593"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20.5</w:t>
            </w:r>
          </w:p>
        </w:tc>
        <w:tc>
          <w:tcPr>
            <w:tcW w:w="1392" w:type="dxa"/>
            <w:shd w:val="clear" w:color="auto" w:fill="auto"/>
          </w:tcPr>
          <w:p w14:paraId="5FE301C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20.5</w:t>
            </w:r>
          </w:p>
        </w:tc>
        <w:tc>
          <w:tcPr>
            <w:tcW w:w="1469" w:type="dxa"/>
            <w:shd w:val="clear" w:color="auto" w:fill="auto"/>
          </w:tcPr>
          <w:p w14:paraId="22C896F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34.0</w:t>
            </w:r>
          </w:p>
        </w:tc>
      </w:tr>
      <w:tr w:rsidR="00794008" w:rsidRPr="00FB76B7" w14:paraId="074E721A" w14:textId="77777777" w:rsidTr="00794008">
        <w:trPr>
          <w:cantSplit/>
        </w:trPr>
        <w:tc>
          <w:tcPr>
            <w:tcW w:w="734" w:type="dxa"/>
            <w:vMerge/>
            <w:shd w:val="clear" w:color="auto" w:fill="auto"/>
          </w:tcPr>
          <w:p w14:paraId="3CACD598"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4D8B091A"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Moderate (51-75%)</w:t>
            </w:r>
          </w:p>
        </w:tc>
        <w:tc>
          <w:tcPr>
            <w:tcW w:w="1162" w:type="dxa"/>
            <w:shd w:val="clear" w:color="auto" w:fill="auto"/>
          </w:tcPr>
          <w:p w14:paraId="69E8FEF6"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61</w:t>
            </w:r>
          </w:p>
        </w:tc>
        <w:tc>
          <w:tcPr>
            <w:tcW w:w="1024" w:type="dxa"/>
            <w:shd w:val="clear" w:color="auto" w:fill="auto"/>
          </w:tcPr>
          <w:p w14:paraId="2A8A1F60"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39.1</w:t>
            </w:r>
          </w:p>
        </w:tc>
        <w:tc>
          <w:tcPr>
            <w:tcW w:w="1392" w:type="dxa"/>
            <w:shd w:val="clear" w:color="auto" w:fill="auto"/>
          </w:tcPr>
          <w:p w14:paraId="0FE270F5"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39.1</w:t>
            </w:r>
          </w:p>
        </w:tc>
        <w:tc>
          <w:tcPr>
            <w:tcW w:w="1469" w:type="dxa"/>
            <w:shd w:val="clear" w:color="auto" w:fill="auto"/>
          </w:tcPr>
          <w:p w14:paraId="7D141AA0"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73.1</w:t>
            </w:r>
          </w:p>
        </w:tc>
      </w:tr>
      <w:tr w:rsidR="00794008" w:rsidRPr="00FB76B7" w14:paraId="5883FF86" w14:textId="77777777" w:rsidTr="00794008">
        <w:trPr>
          <w:cantSplit/>
        </w:trPr>
        <w:tc>
          <w:tcPr>
            <w:tcW w:w="734" w:type="dxa"/>
            <w:vMerge/>
            <w:shd w:val="clear" w:color="auto" w:fill="auto"/>
          </w:tcPr>
          <w:p w14:paraId="677BFA3A"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1A3B7869"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High (More than 75%)</w:t>
            </w:r>
          </w:p>
        </w:tc>
        <w:tc>
          <w:tcPr>
            <w:tcW w:w="1162" w:type="dxa"/>
            <w:shd w:val="clear" w:color="auto" w:fill="auto"/>
          </w:tcPr>
          <w:p w14:paraId="768718D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42</w:t>
            </w:r>
          </w:p>
        </w:tc>
        <w:tc>
          <w:tcPr>
            <w:tcW w:w="1024" w:type="dxa"/>
            <w:shd w:val="clear" w:color="auto" w:fill="auto"/>
          </w:tcPr>
          <w:p w14:paraId="37D152B0"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26.9</w:t>
            </w:r>
          </w:p>
        </w:tc>
        <w:tc>
          <w:tcPr>
            <w:tcW w:w="1392" w:type="dxa"/>
            <w:shd w:val="clear" w:color="auto" w:fill="auto"/>
          </w:tcPr>
          <w:p w14:paraId="745E0E90"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26.9</w:t>
            </w:r>
          </w:p>
        </w:tc>
        <w:tc>
          <w:tcPr>
            <w:tcW w:w="1469" w:type="dxa"/>
            <w:shd w:val="clear" w:color="auto" w:fill="auto"/>
          </w:tcPr>
          <w:p w14:paraId="5761A857"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r>
      <w:tr w:rsidR="00794008" w:rsidRPr="00FB76B7" w14:paraId="501A1D30" w14:textId="77777777" w:rsidTr="00794008">
        <w:trPr>
          <w:cantSplit/>
        </w:trPr>
        <w:tc>
          <w:tcPr>
            <w:tcW w:w="734" w:type="dxa"/>
            <w:vMerge/>
            <w:shd w:val="clear" w:color="auto" w:fill="auto"/>
          </w:tcPr>
          <w:p w14:paraId="5AEEA36D" w14:textId="77777777" w:rsidR="00794008" w:rsidRPr="00FB76B7" w:rsidRDefault="00794008"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10006E15" w14:textId="77777777" w:rsidR="00794008" w:rsidRPr="00FB76B7" w:rsidRDefault="00794008" w:rsidP="007B1BDB">
            <w:pPr>
              <w:autoSpaceDE w:val="0"/>
              <w:autoSpaceDN w:val="0"/>
              <w:adjustRightInd w:val="0"/>
              <w:spacing w:after="0" w:line="360" w:lineRule="auto"/>
              <w:ind w:left="60" w:right="60"/>
              <w:jc w:val="left"/>
              <w:rPr>
                <w:rFonts w:ascii="Arial" w:hAnsi="Arial" w:cs="Arial"/>
                <w:sz w:val="18"/>
                <w:szCs w:val="18"/>
              </w:rPr>
            </w:pPr>
            <w:r w:rsidRPr="00FB76B7">
              <w:rPr>
                <w:rFonts w:ascii="Arial" w:hAnsi="Arial" w:cs="Arial"/>
                <w:sz w:val="18"/>
                <w:szCs w:val="18"/>
              </w:rPr>
              <w:t>Total</w:t>
            </w:r>
          </w:p>
        </w:tc>
        <w:tc>
          <w:tcPr>
            <w:tcW w:w="1162" w:type="dxa"/>
            <w:shd w:val="clear" w:color="auto" w:fill="auto"/>
          </w:tcPr>
          <w:p w14:paraId="7B8BDB2A"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156</w:t>
            </w:r>
          </w:p>
        </w:tc>
        <w:tc>
          <w:tcPr>
            <w:tcW w:w="1024" w:type="dxa"/>
            <w:shd w:val="clear" w:color="auto" w:fill="auto"/>
          </w:tcPr>
          <w:p w14:paraId="3F63DBA9"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392" w:type="dxa"/>
            <w:shd w:val="clear" w:color="auto" w:fill="auto"/>
          </w:tcPr>
          <w:p w14:paraId="74EEB08B" w14:textId="77777777" w:rsidR="00794008" w:rsidRPr="00FB76B7" w:rsidRDefault="00794008" w:rsidP="007B1BDB">
            <w:pPr>
              <w:autoSpaceDE w:val="0"/>
              <w:autoSpaceDN w:val="0"/>
              <w:adjustRightInd w:val="0"/>
              <w:spacing w:after="0" w:line="360" w:lineRule="auto"/>
              <w:ind w:left="60" w:right="60"/>
              <w:jc w:val="right"/>
              <w:rPr>
                <w:rFonts w:ascii="Arial" w:hAnsi="Arial" w:cs="Arial"/>
                <w:sz w:val="18"/>
                <w:szCs w:val="18"/>
              </w:rPr>
            </w:pPr>
            <w:r w:rsidRPr="00FB76B7">
              <w:rPr>
                <w:rFonts w:ascii="Arial" w:hAnsi="Arial" w:cs="Arial"/>
                <w:sz w:val="18"/>
                <w:szCs w:val="18"/>
              </w:rPr>
              <w:t>100.0</w:t>
            </w:r>
          </w:p>
        </w:tc>
        <w:tc>
          <w:tcPr>
            <w:tcW w:w="1469" w:type="dxa"/>
            <w:shd w:val="clear" w:color="auto" w:fill="auto"/>
            <w:vAlign w:val="center"/>
          </w:tcPr>
          <w:p w14:paraId="03F7AFA6" w14:textId="77777777" w:rsidR="00794008" w:rsidRPr="00FB76B7" w:rsidRDefault="00794008" w:rsidP="007B1BDB">
            <w:pPr>
              <w:autoSpaceDE w:val="0"/>
              <w:autoSpaceDN w:val="0"/>
              <w:adjustRightInd w:val="0"/>
              <w:spacing w:after="0" w:line="360" w:lineRule="auto"/>
              <w:jc w:val="left"/>
              <w:rPr>
                <w:rFonts w:cs="Times New Roman"/>
                <w:szCs w:val="24"/>
              </w:rPr>
            </w:pPr>
          </w:p>
        </w:tc>
      </w:tr>
    </w:tbl>
    <w:p w14:paraId="185BDC18" w14:textId="286EB987" w:rsidR="00D23FD7" w:rsidRDefault="00D23FD7"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Fig-4.17: Expenditure </w:t>
      </w:r>
      <w:r w:rsidRPr="00DC3B5B">
        <w:t>on health, education, and food increased before and after receiving remittance</w:t>
      </w:r>
    </w:p>
    <w:p w14:paraId="2C9BC77B" w14:textId="54A9FD00"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 xml:space="preserve">Among the 156 respondents, 13.5% reported a very little increase (less than 25%) in their expenditures on these essentials after receiving remittance. A slightly larger group, 20.5%, indicated that there was a little increase (25-50%) in their spending on health, </w:t>
      </w:r>
      <w:r w:rsidRPr="00794008">
        <w:rPr>
          <w:rFonts w:eastAsia="Times New Roman" w:cs="Times New Roman"/>
          <w:color w:val="auto"/>
          <w:szCs w:val="24"/>
        </w:rPr>
        <w:lastRenderedPageBreak/>
        <w:t>education, and food. Additionally, 39.1% of the participants noted a moderate increase (51-75%) in these expenditures. Finally, 26.9% of the respondents mentioned experiencing a high increase (more than 75%) in their spending on health, education, and food after receiving remittance.</w:t>
      </w:r>
    </w:p>
    <w:p w14:paraId="6F408A14" w14:textId="77777777"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This distribution highlights the significant impact of remittance on improving the quality of life for recipients. The increased spending on essential needs such as health, education, and food reflects the crucial role of remittance in enhancing living standards and providing better access to essential services. The data underscores the importance of remittance in supporting the well-being and development of recipients and their families.</w:t>
      </w:r>
    </w:p>
    <w:tbl>
      <w:tblPr>
        <w:tblW w:w="8229" w:type="dxa"/>
        <w:tblLayout w:type="fixed"/>
        <w:tblCellMar>
          <w:left w:w="0" w:type="dxa"/>
          <w:right w:w="0" w:type="dxa"/>
        </w:tblCellMar>
        <w:tblLook w:val="0000" w:firstRow="0" w:lastRow="0" w:firstColumn="0" w:lastColumn="0" w:noHBand="0" w:noVBand="0"/>
      </w:tblPr>
      <w:tblGrid>
        <w:gridCol w:w="2448"/>
        <w:gridCol w:w="734"/>
        <w:gridCol w:w="428"/>
        <w:gridCol w:w="734"/>
        <w:gridCol w:w="290"/>
        <w:gridCol w:w="734"/>
        <w:gridCol w:w="658"/>
        <w:gridCol w:w="734"/>
        <w:gridCol w:w="735"/>
        <w:gridCol w:w="734"/>
      </w:tblGrid>
      <w:tr w:rsidR="00794008" w:rsidRPr="00DC3B5B" w14:paraId="22150FEB" w14:textId="77777777" w:rsidTr="00794008">
        <w:trPr>
          <w:cantSplit/>
        </w:trPr>
        <w:tc>
          <w:tcPr>
            <w:tcW w:w="8229" w:type="dxa"/>
            <w:gridSpan w:val="10"/>
            <w:tcBorders>
              <w:top w:val="single" w:sz="4" w:space="0" w:color="auto"/>
              <w:bottom w:val="single" w:sz="4" w:space="0" w:color="auto"/>
            </w:tcBorders>
            <w:shd w:val="clear" w:color="auto" w:fill="auto"/>
            <w:vAlign w:val="center"/>
          </w:tcPr>
          <w:p w14:paraId="61F57EF9" w14:textId="77777777" w:rsidR="00794008" w:rsidRPr="00DC3B5B" w:rsidRDefault="00794008" w:rsidP="00326751">
            <w:pPr>
              <w:jc w:val="center"/>
            </w:pPr>
            <w:r w:rsidRPr="00DC3B5B">
              <w:t>Has the remittance improved your living standards?</w:t>
            </w:r>
          </w:p>
        </w:tc>
      </w:tr>
      <w:tr w:rsidR="00794008" w:rsidRPr="00E0677B" w14:paraId="4ECD00D9" w14:textId="77777777" w:rsidTr="00794008">
        <w:trPr>
          <w:cantSplit/>
        </w:trPr>
        <w:tc>
          <w:tcPr>
            <w:tcW w:w="3182" w:type="dxa"/>
            <w:gridSpan w:val="2"/>
            <w:tcBorders>
              <w:top w:val="single" w:sz="4" w:space="0" w:color="auto"/>
              <w:bottom w:val="single" w:sz="4" w:space="0" w:color="auto"/>
            </w:tcBorders>
            <w:shd w:val="clear" w:color="auto" w:fill="auto"/>
            <w:vAlign w:val="bottom"/>
          </w:tcPr>
          <w:p w14:paraId="1D106EB5" w14:textId="77777777" w:rsidR="00794008" w:rsidRPr="00E0677B" w:rsidRDefault="00794008" w:rsidP="007B1BDB">
            <w:pPr>
              <w:autoSpaceDE w:val="0"/>
              <w:autoSpaceDN w:val="0"/>
              <w:adjustRightInd w:val="0"/>
              <w:spacing w:after="0" w:line="360" w:lineRule="auto"/>
              <w:jc w:val="left"/>
              <w:rPr>
                <w:rFonts w:cs="Times New Roman"/>
                <w:szCs w:val="24"/>
              </w:rPr>
            </w:pPr>
          </w:p>
        </w:tc>
        <w:tc>
          <w:tcPr>
            <w:tcW w:w="1162" w:type="dxa"/>
            <w:gridSpan w:val="2"/>
            <w:tcBorders>
              <w:top w:val="single" w:sz="4" w:space="0" w:color="auto"/>
              <w:bottom w:val="single" w:sz="4" w:space="0" w:color="auto"/>
            </w:tcBorders>
            <w:shd w:val="clear" w:color="auto" w:fill="auto"/>
            <w:vAlign w:val="bottom"/>
          </w:tcPr>
          <w:p w14:paraId="1A73E268" w14:textId="77777777" w:rsidR="00794008" w:rsidRPr="00E0677B" w:rsidRDefault="00794008"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Frequency</w:t>
            </w:r>
          </w:p>
        </w:tc>
        <w:tc>
          <w:tcPr>
            <w:tcW w:w="1024" w:type="dxa"/>
            <w:gridSpan w:val="2"/>
            <w:tcBorders>
              <w:top w:val="single" w:sz="4" w:space="0" w:color="auto"/>
              <w:bottom w:val="single" w:sz="4" w:space="0" w:color="auto"/>
            </w:tcBorders>
            <w:shd w:val="clear" w:color="auto" w:fill="auto"/>
            <w:vAlign w:val="bottom"/>
          </w:tcPr>
          <w:p w14:paraId="6AC182A6" w14:textId="77777777" w:rsidR="00794008" w:rsidRPr="00E0677B" w:rsidRDefault="00794008"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Percent</w:t>
            </w:r>
          </w:p>
        </w:tc>
        <w:tc>
          <w:tcPr>
            <w:tcW w:w="1392" w:type="dxa"/>
            <w:gridSpan w:val="2"/>
            <w:tcBorders>
              <w:top w:val="single" w:sz="4" w:space="0" w:color="auto"/>
              <w:bottom w:val="single" w:sz="4" w:space="0" w:color="auto"/>
            </w:tcBorders>
            <w:shd w:val="clear" w:color="auto" w:fill="auto"/>
            <w:vAlign w:val="bottom"/>
          </w:tcPr>
          <w:p w14:paraId="1CBE1677" w14:textId="77777777" w:rsidR="00794008" w:rsidRPr="00E0677B" w:rsidRDefault="00794008"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Valid Percent</w:t>
            </w:r>
          </w:p>
        </w:tc>
        <w:tc>
          <w:tcPr>
            <w:tcW w:w="1469" w:type="dxa"/>
            <w:gridSpan w:val="2"/>
            <w:tcBorders>
              <w:top w:val="single" w:sz="4" w:space="0" w:color="auto"/>
              <w:bottom w:val="single" w:sz="4" w:space="0" w:color="auto"/>
            </w:tcBorders>
            <w:shd w:val="clear" w:color="auto" w:fill="auto"/>
            <w:vAlign w:val="bottom"/>
          </w:tcPr>
          <w:p w14:paraId="437085E2" w14:textId="77777777" w:rsidR="00794008" w:rsidRPr="00E0677B" w:rsidRDefault="00794008"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Cumulative Percent</w:t>
            </w:r>
          </w:p>
        </w:tc>
      </w:tr>
      <w:tr w:rsidR="00794008" w:rsidRPr="00E0677B" w14:paraId="3990A71A" w14:textId="77777777" w:rsidTr="00794008">
        <w:trPr>
          <w:gridAfter w:val="1"/>
          <w:wAfter w:w="734" w:type="dxa"/>
          <w:cantSplit/>
        </w:trPr>
        <w:tc>
          <w:tcPr>
            <w:tcW w:w="2448" w:type="dxa"/>
            <w:tcBorders>
              <w:top w:val="single" w:sz="4" w:space="0" w:color="auto"/>
            </w:tcBorders>
            <w:shd w:val="clear" w:color="auto" w:fill="auto"/>
          </w:tcPr>
          <w:p w14:paraId="29A66531" w14:textId="77777777" w:rsidR="00794008" w:rsidRPr="00E0677B" w:rsidRDefault="00794008"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Disagree/Decreased significantly</w:t>
            </w:r>
          </w:p>
        </w:tc>
        <w:tc>
          <w:tcPr>
            <w:tcW w:w="1162" w:type="dxa"/>
            <w:gridSpan w:val="2"/>
            <w:tcBorders>
              <w:top w:val="single" w:sz="4" w:space="0" w:color="auto"/>
            </w:tcBorders>
            <w:shd w:val="clear" w:color="auto" w:fill="auto"/>
          </w:tcPr>
          <w:p w14:paraId="6F84D2E7"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33</w:t>
            </w:r>
          </w:p>
        </w:tc>
        <w:tc>
          <w:tcPr>
            <w:tcW w:w="1024" w:type="dxa"/>
            <w:gridSpan w:val="2"/>
            <w:tcBorders>
              <w:top w:val="single" w:sz="4" w:space="0" w:color="auto"/>
            </w:tcBorders>
            <w:shd w:val="clear" w:color="auto" w:fill="auto"/>
          </w:tcPr>
          <w:p w14:paraId="559BDA68"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21.2</w:t>
            </w:r>
          </w:p>
        </w:tc>
        <w:tc>
          <w:tcPr>
            <w:tcW w:w="1392" w:type="dxa"/>
            <w:gridSpan w:val="2"/>
            <w:tcBorders>
              <w:top w:val="single" w:sz="4" w:space="0" w:color="auto"/>
            </w:tcBorders>
            <w:shd w:val="clear" w:color="auto" w:fill="auto"/>
          </w:tcPr>
          <w:p w14:paraId="5716B699"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21.2</w:t>
            </w:r>
          </w:p>
        </w:tc>
        <w:tc>
          <w:tcPr>
            <w:tcW w:w="1469" w:type="dxa"/>
            <w:gridSpan w:val="2"/>
            <w:tcBorders>
              <w:top w:val="single" w:sz="4" w:space="0" w:color="auto"/>
            </w:tcBorders>
            <w:shd w:val="clear" w:color="auto" w:fill="auto"/>
          </w:tcPr>
          <w:p w14:paraId="1D67FE3A"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21.2</w:t>
            </w:r>
          </w:p>
        </w:tc>
      </w:tr>
      <w:tr w:rsidR="00794008" w:rsidRPr="00E0677B" w14:paraId="67FA963D" w14:textId="77777777" w:rsidTr="00794008">
        <w:trPr>
          <w:gridAfter w:val="1"/>
          <w:wAfter w:w="734" w:type="dxa"/>
          <w:cantSplit/>
        </w:trPr>
        <w:tc>
          <w:tcPr>
            <w:tcW w:w="2448" w:type="dxa"/>
            <w:shd w:val="clear" w:color="auto" w:fill="auto"/>
          </w:tcPr>
          <w:p w14:paraId="7D67547A" w14:textId="77777777" w:rsidR="00794008" w:rsidRPr="00E0677B" w:rsidRDefault="00794008"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Disagree/ Decreased</w:t>
            </w:r>
          </w:p>
        </w:tc>
        <w:tc>
          <w:tcPr>
            <w:tcW w:w="1162" w:type="dxa"/>
            <w:gridSpan w:val="2"/>
            <w:shd w:val="clear" w:color="auto" w:fill="auto"/>
          </w:tcPr>
          <w:p w14:paraId="0020C9D4"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15</w:t>
            </w:r>
          </w:p>
        </w:tc>
        <w:tc>
          <w:tcPr>
            <w:tcW w:w="1024" w:type="dxa"/>
            <w:gridSpan w:val="2"/>
            <w:shd w:val="clear" w:color="auto" w:fill="auto"/>
          </w:tcPr>
          <w:p w14:paraId="04EB8716"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9.6</w:t>
            </w:r>
          </w:p>
        </w:tc>
        <w:tc>
          <w:tcPr>
            <w:tcW w:w="1392" w:type="dxa"/>
            <w:gridSpan w:val="2"/>
            <w:shd w:val="clear" w:color="auto" w:fill="auto"/>
          </w:tcPr>
          <w:p w14:paraId="5AAA0BE4"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9.6</w:t>
            </w:r>
          </w:p>
        </w:tc>
        <w:tc>
          <w:tcPr>
            <w:tcW w:w="1469" w:type="dxa"/>
            <w:gridSpan w:val="2"/>
            <w:shd w:val="clear" w:color="auto" w:fill="auto"/>
          </w:tcPr>
          <w:p w14:paraId="48971B2E"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30.8</w:t>
            </w:r>
          </w:p>
        </w:tc>
      </w:tr>
      <w:tr w:rsidR="00794008" w:rsidRPr="00E0677B" w14:paraId="11F57CEF" w14:textId="77777777" w:rsidTr="00794008">
        <w:trPr>
          <w:gridAfter w:val="1"/>
          <w:wAfter w:w="734" w:type="dxa"/>
          <w:cantSplit/>
        </w:trPr>
        <w:tc>
          <w:tcPr>
            <w:tcW w:w="2448" w:type="dxa"/>
            <w:shd w:val="clear" w:color="auto" w:fill="auto"/>
          </w:tcPr>
          <w:p w14:paraId="13629CE5" w14:textId="77777777" w:rsidR="00794008" w:rsidRPr="00E0677B" w:rsidRDefault="00794008"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Neutral/No change</w:t>
            </w:r>
          </w:p>
        </w:tc>
        <w:tc>
          <w:tcPr>
            <w:tcW w:w="1162" w:type="dxa"/>
            <w:gridSpan w:val="2"/>
            <w:shd w:val="clear" w:color="auto" w:fill="auto"/>
          </w:tcPr>
          <w:p w14:paraId="4929C4E6"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19</w:t>
            </w:r>
          </w:p>
        </w:tc>
        <w:tc>
          <w:tcPr>
            <w:tcW w:w="1024" w:type="dxa"/>
            <w:gridSpan w:val="2"/>
            <w:shd w:val="clear" w:color="auto" w:fill="auto"/>
          </w:tcPr>
          <w:p w14:paraId="62737EE0"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12.2</w:t>
            </w:r>
          </w:p>
        </w:tc>
        <w:tc>
          <w:tcPr>
            <w:tcW w:w="1392" w:type="dxa"/>
            <w:gridSpan w:val="2"/>
            <w:shd w:val="clear" w:color="auto" w:fill="auto"/>
          </w:tcPr>
          <w:p w14:paraId="03D7309E"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12.2</w:t>
            </w:r>
          </w:p>
        </w:tc>
        <w:tc>
          <w:tcPr>
            <w:tcW w:w="1469" w:type="dxa"/>
            <w:gridSpan w:val="2"/>
            <w:shd w:val="clear" w:color="auto" w:fill="auto"/>
          </w:tcPr>
          <w:p w14:paraId="7170DDAF"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42.9</w:t>
            </w:r>
          </w:p>
        </w:tc>
      </w:tr>
      <w:tr w:rsidR="00794008" w:rsidRPr="00E0677B" w14:paraId="3485349D" w14:textId="77777777" w:rsidTr="00794008">
        <w:trPr>
          <w:gridAfter w:val="1"/>
          <w:wAfter w:w="734" w:type="dxa"/>
          <w:cantSplit/>
        </w:trPr>
        <w:tc>
          <w:tcPr>
            <w:tcW w:w="2448" w:type="dxa"/>
            <w:shd w:val="clear" w:color="auto" w:fill="auto"/>
          </w:tcPr>
          <w:p w14:paraId="11C6A821" w14:textId="77777777" w:rsidR="00794008" w:rsidRPr="00E0677B" w:rsidRDefault="00794008"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Agree/Yes, somewhat</w:t>
            </w:r>
          </w:p>
        </w:tc>
        <w:tc>
          <w:tcPr>
            <w:tcW w:w="1162" w:type="dxa"/>
            <w:gridSpan w:val="2"/>
            <w:shd w:val="clear" w:color="auto" w:fill="auto"/>
          </w:tcPr>
          <w:p w14:paraId="0D2CC286"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52</w:t>
            </w:r>
          </w:p>
        </w:tc>
        <w:tc>
          <w:tcPr>
            <w:tcW w:w="1024" w:type="dxa"/>
            <w:gridSpan w:val="2"/>
            <w:shd w:val="clear" w:color="auto" w:fill="auto"/>
          </w:tcPr>
          <w:p w14:paraId="092F3B91"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33.3</w:t>
            </w:r>
          </w:p>
        </w:tc>
        <w:tc>
          <w:tcPr>
            <w:tcW w:w="1392" w:type="dxa"/>
            <w:gridSpan w:val="2"/>
            <w:shd w:val="clear" w:color="auto" w:fill="auto"/>
          </w:tcPr>
          <w:p w14:paraId="740CD595"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33.3</w:t>
            </w:r>
          </w:p>
        </w:tc>
        <w:tc>
          <w:tcPr>
            <w:tcW w:w="1469" w:type="dxa"/>
            <w:gridSpan w:val="2"/>
            <w:shd w:val="clear" w:color="auto" w:fill="auto"/>
          </w:tcPr>
          <w:p w14:paraId="2B6A9FE7"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76.3</w:t>
            </w:r>
          </w:p>
        </w:tc>
      </w:tr>
      <w:tr w:rsidR="00794008" w:rsidRPr="00E0677B" w14:paraId="420428BA" w14:textId="77777777" w:rsidTr="00794008">
        <w:trPr>
          <w:gridAfter w:val="1"/>
          <w:wAfter w:w="734" w:type="dxa"/>
          <w:cantSplit/>
        </w:trPr>
        <w:tc>
          <w:tcPr>
            <w:tcW w:w="2448" w:type="dxa"/>
            <w:shd w:val="clear" w:color="auto" w:fill="auto"/>
          </w:tcPr>
          <w:p w14:paraId="754040C0" w14:textId="77777777" w:rsidR="00794008" w:rsidRPr="00E0677B" w:rsidRDefault="00794008"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Agree/Yes, significantly</w:t>
            </w:r>
          </w:p>
        </w:tc>
        <w:tc>
          <w:tcPr>
            <w:tcW w:w="1162" w:type="dxa"/>
            <w:gridSpan w:val="2"/>
            <w:shd w:val="clear" w:color="auto" w:fill="auto"/>
          </w:tcPr>
          <w:p w14:paraId="3D00FE29"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37</w:t>
            </w:r>
          </w:p>
        </w:tc>
        <w:tc>
          <w:tcPr>
            <w:tcW w:w="1024" w:type="dxa"/>
            <w:gridSpan w:val="2"/>
            <w:shd w:val="clear" w:color="auto" w:fill="auto"/>
          </w:tcPr>
          <w:p w14:paraId="6A2340D6"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23.7</w:t>
            </w:r>
          </w:p>
        </w:tc>
        <w:tc>
          <w:tcPr>
            <w:tcW w:w="1392" w:type="dxa"/>
            <w:gridSpan w:val="2"/>
            <w:shd w:val="clear" w:color="auto" w:fill="auto"/>
          </w:tcPr>
          <w:p w14:paraId="657B38B1"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23.7</w:t>
            </w:r>
          </w:p>
        </w:tc>
        <w:tc>
          <w:tcPr>
            <w:tcW w:w="1469" w:type="dxa"/>
            <w:gridSpan w:val="2"/>
            <w:shd w:val="clear" w:color="auto" w:fill="auto"/>
          </w:tcPr>
          <w:p w14:paraId="433ACE2B"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r>
      <w:tr w:rsidR="00794008" w:rsidRPr="00E0677B" w14:paraId="0694FBC1" w14:textId="77777777" w:rsidTr="00794008">
        <w:trPr>
          <w:gridAfter w:val="1"/>
          <w:wAfter w:w="734" w:type="dxa"/>
          <w:cantSplit/>
        </w:trPr>
        <w:tc>
          <w:tcPr>
            <w:tcW w:w="2448" w:type="dxa"/>
            <w:tcBorders>
              <w:bottom w:val="single" w:sz="4" w:space="0" w:color="auto"/>
            </w:tcBorders>
            <w:shd w:val="clear" w:color="auto" w:fill="auto"/>
          </w:tcPr>
          <w:p w14:paraId="349B50FF" w14:textId="77777777" w:rsidR="00794008" w:rsidRPr="00E0677B" w:rsidRDefault="00794008"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Total</w:t>
            </w:r>
          </w:p>
        </w:tc>
        <w:tc>
          <w:tcPr>
            <w:tcW w:w="1162" w:type="dxa"/>
            <w:gridSpan w:val="2"/>
            <w:tcBorders>
              <w:bottom w:val="single" w:sz="4" w:space="0" w:color="auto"/>
            </w:tcBorders>
            <w:shd w:val="clear" w:color="auto" w:fill="auto"/>
          </w:tcPr>
          <w:p w14:paraId="457F0FEB"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156</w:t>
            </w:r>
          </w:p>
        </w:tc>
        <w:tc>
          <w:tcPr>
            <w:tcW w:w="1024" w:type="dxa"/>
            <w:gridSpan w:val="2"/>
            <w:tcBorders>
              <w:bottom w:val="single" w:sz="4" w:space="0" w:color="auto"/>
            </w:tcBorders>
            <w:shd w:val="clear" w:color="auto" w:fill="auto"/>
          </w:tcPr>
          <w:p w14:paraId="36927693"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392" w:type="dxa"/>
            <w:gridSpan w:val="2"/>
            <w:tcBorders>
              <w:bottom w:val="single" w:sz="4" w:space="0" w:color="auto"/>
            </w:tcBorders>
            <w:shd w:val="clear" w:color="auto" w:fill="auto"/>
          </w:tcPr>
          <w:p w14:paraId="2BDBB4D4" w14:textId="77777777" w:rsidR="00794008" w:rsidRPr="00E0677B" w:rsidRDefault="00794008"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469" w:type="dxa"/>
            <w:gridSpan w:val="2"/>
            <w:tcBorders>
              <w:bottom w:val="single" w:sz="4" w:space="0" w:color="auto"/>
            </w:tcBorders>
            <w:shd w:val="clear" w:color="auto" w:fill="auto"/>
            <w:vAlign w:val="center"/>
          </w:tcPr>
          <w:p w14:paraId="26B4F12C" w14:textId="77777777" w:rsidR="00794008" w:rsidRPr="00E0677B" w:rsidRDefault="00794008" w:rsidP="007B1BDB">
            <w:pPr>
              <w:autoSpaceDE w:val="0"/>
              <w:autoSpaceDN w:val="0"/>
              <w:adjustRightInd w:val="0"/>
              <w:spacing w:after="0" w:line="360" w:lineRule="auto"/>
              <w:jc w:val="left"/>
              <w:rPr>
                <w:rFonts w:cs="Times New Roman"/>
                <w:szCs w:val="24"/>
              </w:rPr>
            </w:pPr>
          </w:p>
        </w:tc>
      </w:tr>
    </w:tbl>
    <w:p w14:paraId="31A9DDBC" w14:textId="37361DD5" w:rsidR="001C286F" w:rsidRDefault="001C286F"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Fig-4.18: </w:t>
      </w:r>
      <w:r>
        <w:t>I</w:t>
      </w:r>
      <w:r w:rsidRPr="00DC3B5B">
        <w:t>mprov</w:t>
      </w:r>
      <w:r>
        <w:t>ement</w:t>
      </w:r>
      <w:r w:rsidRPr="00DC3B5B">
        <w:t xml:space="preserve"> </w:t>
      </w:r>
      <w:r>
        <w:t xml:space="preserve">of </w:t>
      </w:r>
      <w:r w:rsidRPr="00DC3B5B">
        <w:t xml:space="preserve"> living standard</w:t>
      </w:r>
      <w:r>
        <w:t xml:space="preserve"> after receiving remittance</w:t>
      </w:r>
    </w:p>
    <w:p w14:paraId="2D959A6A" w14:textId="5C2C7C50"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Among the 156 respondents, 21.2% strongly disagreed or felt their living standards had decreased significantly. Another 9.6% disagreed or believed their living standards had decreased. A neutral position, indicating no change in living standards, was reported by 12.2% of the participants. Meanwhile, 33.3% of the respondents agreed, acknowledging that remittance has somewhat improved their living standards. Finally, 23.7% of the participants strongly agreed, stating that remittance has significantly improved their living standards.</w:t>
      </w:r>
    </w:p>
    <w:p w14:paraId="5F51AEA5" w14:textId="77777777" w:rsidR="00794008" w:rsidRPr="00794008" w:rsidRDefault="00794008" w:rsidP="007B1BDB">
      <w:pPr>
        <w:spacing w:before="100" w:beforeAutospacing="1" w:after="100" w:afterAutospacing="1" w:line="360" w:lineRule="auto"/>
        <w:rPr>
          <w:rFonts w:eastAsia="Times New Roman" w:cs="Times New Roman"/>
          <w:color w:val="auto"/>
          <w:szCs w:val="24"/>
        </w:rPr>
      </w:pPr>
      <w:r w:rsidRPr="00794008">
        <w:rPr>
          <w:rFonts w:eastAsia="Times New Roman" w:cs="Times New Roman"/>
          <w:color w:val="auto"/>
          <w:szCs w:val="24"/>
        </w:rPr>
        <w:t xml:space="preserve">This distribution reveals a predominantly positive impact of remittance on living standards, with over half of the respondents (57%) acknowledging some level of </w:t>
      </w:r>
      <w:r w:rsidRPr="00794008">
        <w:rPr>
          <w:rFonts w:eastAsia="Times New Roman" w:cs="Times New Roman"/>
          <w:color w:val="auto"/>
          <w:szCs w:val="24"/>
        </w:rPr>
        <w:lastRenderedPageBreak/>
        <w:t>improvement. However, it also highlights that a notable portion of recipients (30.8%) did not perceive an improvement or felt their situation worsened. These mixed perceptions could be influenced by various factors such as the adequacy of remittance amounts, individual financial management, and broader economic conditions. Overall, the data underscores the important role of remittance in potentially enhancing living standards, while also reflecting the diverse experiences of recipients.</w:t>
      </w:r>
    </w:p>
    <w:tbl>
      <w:tblPr>
        <w:tblW w:w="822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456E3E" w:rsidRPr="00DC3B5B" w14:paraId="0FA14772" w14:textId="77777777" w:rsidTr="00321475">
        <w:trPr>
          <w:cantSplit/>
        </w:trPr>
        <w:tc>
          <w:tcPr>
            <w:tcW w:w="8229" w:type="dxa"/>
            <w:gridSpan w:val="6"/>
            <w:tcBorders>
              <w:bottom w:val="single" w:sz="4" w:space="0" w:color="auto"/>
            </w:tcBorders>
            <w:shd w:val="clear" w:color="auto" w:fill="auto"/>
            <w:vAlign w:val="center"/>
          </w:tcPr>
          <w:p w14:paraId="5C42F441" w14:textId="77777777" w:rsidR="00456E3E" w:rsidRPr="00DC3B5B" w:rsidRDefault="00456E3E" w:rsidP="00326751">
            <w:pPr>
              <w:jc w:val="center"/>
            </w:pPr>
            <w:r w:rsidRPr="00DC3B5B">
              <w:t>Has the remittance helped in increasing your savings?</w:t>
            </w:r>
          </w:p>
        </w:tc>
      </w:tr>
      <w:tr w:rsidR="00456E3E" w:rsidRPr="00E0677B" w14:paraId="731C2F6F" w14:textId="77777777" w:rsidTr="00321475">
        <w:trPr>
          <w:cantSplit/>
        </w:trPr>
        <w:tc>
          <w:tcPr>
            <w:tcW w:w="3182" w:type="dxa"/>
            <w:gridSpan w:val="2"/>
            <w:tcBorders>
              <w:top w:val="single" w:sz="4" w:space="0" w:color="auto"/>
              <w:bottom w:val="single" w:sz="4" w:space="0" w:color="auto"/>
            </w:tcBorders>
            <w:shd w:val="clear" w:color="auto" w:fill="auto"/>
            <w:vAlign w:val="bottom"/>
          </w:tcPr>
          <w:p w14:paraId="393E8E1F" w14:textId="77777777" w:rsidR="00456E3E" w:rsidRPr="00E0677B" w:rsidRDefault="00456E3E"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2FDF0D76"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1B142550"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6EE81F70"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5A0B006D"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Cumulative Percent</w:t>
            </w:r>
          </w:p>
        </w:tc>
      </w:tr>
      <w:tr w:rsidR="00456E3E" w:rsidRPr="00E0677B" w14:paraId="24F9712B" w14:textId="77777777" w:rsidTr="00321475">
        <w:trPr>
          <w:cantSplit/>
        </w:trPr>
        <w:tc>
          <w:tcPr>
            <w:tcW w:w="734" w:type="dxa"/>
            <w:vMerge w:val="restart"/>
            <w:tcBorders>
              <w:top w:val="single" w:sz="4" w:space="0" w:color="auto"/>
            </w:tcBorders>
            <w:shd w:val="clear" w:color="auto" w:fill="auto"/>
          </w:tcPr>
          <w:p w14:paraId="1B54AD5D"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4" w:space="0" w:color="auto"/>
            </w:tcBorders>
            <w:shd w:val="clear" w:color="auto" w:fill="auto"/>
          </w:tcPr>
          <w:p w14:paraId="1A8B7BF7"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Disagree/Decreased significantly</w:t>
            </w:r>
          </w:p>
        </w:tc>
        <w:tc>
          <w:tcPr>
            <w:tcW w:w="1162" w:type="dxa"/>
            <w:tcBorders>
              <w:top w:val="single" w:sz="4" w:space="0" w:color="auto"/>
            </w:tcBorders>
            <w:shd w:val="clear" w:color="auto" w:fill="auto"/>
          </w:tcPr>
          <w:p w14:paraId="741F6887"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17</w:t>
            </w:r>
          </w:p>
        </w:tc>
        <w:tc>
          <w:tcPr>
            <w:tcW w:w="1024" w:type="dxa"/>
            <w:tcBorders>
              <w:top w:val="single" w:sz="4" w:space="0" w:color="auto"/>
            </w:tcBorders>
            <w:shd w:val="clear" w:color="auto" w:fill="auto"/>
          </w:tcPr>
          <w:p w14:paraId="73F9ECEA"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10.9</w:t>
            </w:r>
          </w:p>
        </w:tc>
        <w:tc>
          <w:tcPr>
            <w:tcW w:w="1392" w:type="dxa"/>
            <w:tcBorders>
              <w:top w:val="single" w:sz="4" w:space="0" w:color="auto"/>
            </w:tcBorders>
            <w:shd w:val="clear" w:color="auto" w:fill="auto"/>
          </w:tcPr>
          <w:p w14:paraId="5602C02C"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10.9</w:t>
            </w:r>
          </w:p>
        </w:tc>
        <w:tc>
          <w:tcPr>
            <w:tcW w:w="1469" w:type="dxa"/>
            <w:tcBorders>
              <w:top w:val="single" w:sz="4" w:space="0" w:color="auto"/>
            </w:tcBorders>
            <w:shd w:val="clear" w:color="auto" w:fill="auto"/>
          </w:tcPr>
          <w:p w14:paraId="429338D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10.9</w:t>
            </w:r>
          </w:p>
        </w:tc>
      </w:tr>
      <w:tr w:rsidR="00456E3E" w:rsidRPr="00E0677B" w14:paraId="501E8345" w14:textId="77777777" w:rsidTr="00321475">
        <w:trPr>
          <w:cantSplit/>
        </w:trPr>
        <w:tc>
          <w:tcPr>
            <w:tcW w:w="734" w:type="dxa"/>
            <w:vMerge/>
            <w:shd w:val="clear" w:color="auto" w:fill="auto"/>
          </w:tcPr>
          <w:p w14:paraId="10775444"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4CE87FC8"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Disagree/ Decreased</w:t>
            </w:r>
          </w:p>
        </w:tc>
        <w:tc>
          <w:tcPr>
            <w:tcW w:w="1162" w:type="dxa"/>
            <w:shd w:val="clear" w:color="auto" w:fill="auto"/>
          </w:tcPr>
          <w:p w14:paraId="0E7AF5A6"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27</w:t>
            </w:r>
          </w:p>
        </w:tc>
        <w:tc>
          <w:tcPr>
            <w:tcW w:w="1024" w:type="dxa"/>
            <w:shd w:val="clear" w:color="auto" w:fill="auto"/>
          </w:tcPr>
          <w:p w14:paraId="1E2E9A8D"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17.3</w:t>
            </w:r>
          </w:p>
        </w:tc>
        <w:tc>
          <w:tcPr>
            <w:tcW w:w="1392" w:type="dxa"/>
            <w:shd w:val="clear" w:color="auto" w:fill="auto"/>
          </w:tcPr>
          <w:p w14:paraId="7CEBE45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17.3</w:t>
            </w:r>
          </w:p>
        </w:tc>
        <w:tc>
          <w:tcPr>
            <w:tcW w:w="1469" w:type="dxa"/>
            <w:shd w:val="clear" w:color="auto" w:fill="auto"/>
          </w:tcPr>
          <w:p w14:paraId="00A4DF7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28.2</w:t>
            </w:r>
          </w:p>
        </w:tc>
      </w:tr>
      <w:tr w:rsidR="00456E3E" w:rsidRPr="00E0677B" w14:paraId="696744DF" w14:textId="77777777" w:rsidTr="00321475">
        <w:trPr>
          <w:cantSplit/>
        </w:trPr>
        <w:tc>
          <w:tcPr>
            <w:tcW w:w="734" w:type="dxa"/>
            <w:vMerge/>
            <w:shd w:val="clear" w:color="auto" w:fill="auto"/>
          </w:tcPr>
          <w:p w14:paraId="3D9EC522"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0EFD9135"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Neutral/No change</w:t>
            </w:r>
          </w:p>
        </w:tc>
        <w:tc>
          <w:tcPr>
            <w:tcW w:w="1162" w:type="dxa"/>
            <w:shd w:val="clear" w:color="auto" w:fill="auto"/>
          </w:tcPr>
          <w:p w14:paraId="30B8484A"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38</w:t>
            </w:r>
          </w:p>
        </w:tc>
        <w:tc>
          <w:tcPr>
            <w:tcW w:w="1024" w:type="dxa"/>
            <w:shd w:val="clear" w:color="auto" w:fill="auto"/>
          </w:tcPr>
          <w:p w14:paraId="28BA14E7"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24.4</w:t>
            </w:r>
          </w:p>
        </w:tc>
        <w:tc>
          <w:tcPr>
            <w:tcW w:w="1392" w:type="dxa"/>
            <w:shd w:val="clear" w:color="auto" w:fill="auto"/>
          </w:tcPr>
          <w:p w14:paraId="05C0A97A"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24.4</w:t>
            </w:r>
          </w:p>
        </w:tc>
        <w:tc>
          <w:tcPr>
            <w:tcW w:w="1469" w:type="dxa"/>
            <w:shd w:val="clear" w:color="auto" w:fill="auto"/>
          </w:tcPr>
          <w:p w14:paraId="4B3272B4"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52.6</w:t>
            </w:r>
          </w:p>
        </w:tc>
      </w:tr>
      <w:tr w:rsidR="00456E3E" w:rsidRPr="00E0677B" w14:paraId="540C4E67" w14:textId="77777777" w:rsidTr="00321475">
        <w:trPr>
          <w:cantSplit/>
        </w:trPr>
        <w:tc>
          <w:tcPr>
            <w:tcW w:w="734" w:type="dxa"/>
            <w:vMerge/>
            <w:shd w:val="clear" w:color="auto" w:fill="auto"/>
          </w:tcPr>
          <w:p w14:paraId="39CA04EA"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162B600C"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Agree/Yes, somewhat</w:t>
            </w:r>
          </w:p>
        </w:tc>
        <w:tc>
          <w:tcPr>
            <w:tcW w:w="1162" w:type="dxa"/>
            <w:shd w:val="clear" w:color="auto" w:fill="auto"/>
          </w:tcPr>
          <w:p w14:paraId="19107A70"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48</w:t>
            </w:r>
          </w:p>
        </w:tc>
        <w:tc>
          <w:tcPr>
            <w:tcW w:w="1024" w:type="dxa"/>
            <w:shd w:val="clear" w:color="auto" w:fill="auto"/>
          </w:tcPr>
          <w:p w14:paraId="2835D88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30.8</w:t>
            </w:r>
          </w:p>
        </w:tc>
        <w:tc>
          <w:tcPr>
            <w:tcW w:w="1392" w:type="dxa"/>
            <w:shd w:val="clear" w:color="auto" w:fill="auto"/>
          </w:tcPr>
          <w:p w14:paraId="34BFA115"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30.8</w:t>
            </w:r>
          </w:p>
        </w:tc>
        <w:tc>
          <w:tcPr>
            <w:tcW w:w="1469" w:type="dxa"/>
            <w:shd w:val="clear" w:color="auto" w:fill="auto"/>
          </w:tcPr>
          <w:p w14:paraId="369382C3"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83.3</w:t>
            </w:r>
          </w:p>
        </w:tc>
      </w:tr>
      <w:tr w:rsidR="00456E3E" w:rsidRPr="00E0677B" w14:paraId="0151031F" w14:textId="77777777" w:rsidTr="00321475">
        <w:trPr>
          <w:cantSplit/>
        </w:trPr>
        <w:tc>
          <w:tcPr>
            <w:tcW w:w="734" w:type="dxa"/>
            <w:vMerge/>
            <w:shd w:val="clear" w:color="auto" w:fill="auto"/>
          </w:tcPr>
          <w:p w14:paraId="77289DE8"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6C3EBAF9"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Agree/Yes, significantly</w:t>
            </w:r>
          </w:p>
        </w:tc>
        <w:tc>
          <w:tcPr>
            <w:tcW w:w="1162" w:type="dxa"/>
            <w:shd w:val="clear" w:color="auto" w:fill="auto"/>
          </w:tcPr>
          <w:p w14:paraId="3D97DFAA" w14:textId="1DDEDCFC"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w:t>
            </w:r>
            <w:r w:rsidR="00321475">
              <w:rPr>
                <w:rFonts w:ascii="Arial" w:hAnsi="Arial" w:cs="Arial"/>
                <w:sz w:val="18"/>
                <w:szCs w:val="18"/>
              </w:rPr>
              <w:t>6</w:t>
            </w:r>
          </w:p>
        </w:tc>
        <w:tc>
          <w:tcPr>
            <w:tcW w:w="1024" w:type="dxa"/>
            <w:shd w:val="clear" w:color="auto" w:fill="auto"/>
          </w:tcPr>
          <w:p w14:paraId="066C4451" w14:textId="1B9321EC"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w:t>
            </w:r>
            <w:r w:rsidR="00321475">
              <w:rPr>
                <w:rFonts w:ascii="Arial" w:hAnsi="Arial" w:cs="Arial"/>
                <w:sz w:val="18"/>
                <w:szCs w:val="18"/>
              </w:rPr>
              <w:t>6</w:t>
            </w:r>
          </w:p>
        </w:tc>
        <w:tc>
          <w:tcPr>
            <w:tcW w:w="1392" w:type="dxa"/>
            <w:shd w:val="clear" w:color="auto" w:fill="auto"/>
          </w:tcPr>
          <w:p w14:paraId="02859CD0" w14:textId="045D2EFF"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w:t>
            </w:r>
            <w:r w:rsidR="00321475">
              <w:rPr>
                <w:rFonts w:ascii="Arial" w:hAnsi="Arial" w:cs="Arial"/>
                <w:sz w:val="18"/>
                <w:szCs w:val="18"/>
              </w:rPr>
              <w:t>6</w:t>
            </w:r>
          </w:p>
        </w:tc>
        <w:tc>
          <w:tcPr>
            <w:tcW w:w="1469" w:type="dxa"/>
            <w:shd w:val="clear" w:color="auto" w:fill="auto"/>
          </w:tcPr>
          <w:p w14:paraId="5ADD92AE" w14:textId="41B6B335" w:rsidR="00456E3E" w:rsidRPr="00E0677B" w:rsidRDefault="00321475" w:rsidP="007B1BDB">
            <w:pPr>
              <w:autoSpaceDE w:val="0"/>
              <w:autoSpaceDN w:val="0"/>
              <w:adjustRightInd w:val="0"/>
              <w:spacing w:after="0" w:line="360" w:lineRule="auto"/>
              <w:ind w:left="60" w:right="60"/>
              <w:jc w:val="right"/>
              <w:rPr>
                <w:rFonts w:ascii="Arial" w:hAnsi="Arial" w:cs="Arial"/>
                <w:sz w:val="18"/>
                <w:szCs w:val="18"/>
              </w:rPr>
            </w:pPr>
            <w:r>
              <w:rPr>
                <w:rFonts w:ascii="Arial" w:hAnsi="Arial" w:cs="Arial"/>
                <w:sz w:val="18"/>
                <w:szCs w:val="18"/>
              </w:rPr>
              <w:t>100</w:t>
            </w:r>
          </w:p>
        </w:tc>
      </w:tr>
      <w:tr w:rsidR="00321475" w:rsidRPr="00E0677B" w14:paraId="5580C7B0" w14:textId="77777777" w:rsidTr="00E600CF">
        <w:trPr>
          <w:cantSplit/>
          <w:trHeight w:val="631"/>
        </w:trPr>
        <w:tc>
          <w:tcPr>
            <w:tcW w:w="734" w:type="dxa"/>
            <w:vMerge/>
            <w:shd w:val="clear" w:color="auto" w:fill="auto"/>
          </w:tcPr>
          <w:p w14:paraId="1BF16194" w14:textId="77777777" w:rsidR="00321475" w:rsidRPr="00E0677B" w:rsidRDefault="00321475"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16392FC7" w14:textId="288BB754" w:rsidR="00321475" w:rsidRPr="00E0677B" w:rsidRDefault="00321475"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Total</w:t>
            </w:r>
          </w:p>
        </w:tc>
        <w:tc>
          <w:tcPr>
            <w:tcW w:w="1162" w:type="dxa"/>
            <w:shd w:val="clear" w:color="auto" w:fill="auto"/>
          </w:tcPr>
          <w:p w14:paraId="2AEAAF70" w14:textId="1735DF91" w:rsidR="00321475" w:rsidRPr="00E0677B" w:rsidRDefault="00321475"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156</w:t>
            </w:r>
          </w:p>
        </w:tc>
        <w:tc>
          <w:tcPr>
            <w:tcW w:w="1024" w:type="dxa"/>
            <w:shd w:val="clear" w:color="auto" w:fill="auto"/>
          </w:tcPr>
          <w:p w14:paraId="0859181F" w14:textId="2FB8D96C" w:rsidR="00321475" w:rsidRPr="00E0677B" w:rsidRDefault="00321475"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392" w:type="dxa"/>
            <w:shd w:val="clear" w:color="auto" w:fill="auto"/>
          </w:tcPr>
          <w:p w14:paraId="5CFF1079" w14:textId="103209A0" w:rsidR="00321475" w:rsidRPr="00E0677B" w:rsidRDefault="00321475"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469" w:type="dxa"/>
            <w:shd w:val="clear" w:color="auto" w:fill="auto"/>
          </w:tcPr>
          <w:p w14:paraId="4027E4C9" w14:textId="570E0921" w:rsidR="00321475" w:rsidRPr="00E0677B" w:rsidRDefault="00321475" w:rsidP="007B1BDB">
            <w:pPr>
              <w:autoSpaceDE w:val="0"/>
              <w:autoSpaceDN w:val="0"/>
              <w:adjustRightInd w:val="0"/>
              <w:spacing w:after="0" w:line="360" w:lineRule="auto"/>
              <w:ind w:left="60" w:right="60"/>
              <w:jc w:val="right"/>
              <w:rPr>
                <w:rFonts w:ascii="Arial" w:hAnsi="Arial" w:cs="Arial"/>
                <w:sz w:val="18"/>
                <w:szCs w:val="18"/>
              </w:rPr>
            </w:pPr>
          </w:p>
        </w:tc>
      </w:tr>
    </w:tbl>
    <w:p w14:paraId="36737E8C" w14:textId="7942302A" w:rsidR="00EF288D" w:rsidRDefault="00EF288D" w:rsidP="007B1BDB">
      <w:pPr>
        <w:spacing w:before="100" w:beforeAutospacing="1" w:after="100" w:afterAutospacing="1" w:line="360" w:lineRule="auto"/>
      </w:pPr>
      <w:r>
        <w:t xml:space="preserve">   Fig-4.19: Increasing saving after receiving remittance </w:t>
      </w:r>
    </w:p>
    <w:p w14:paraId="525ED177" w14:textId="515B4BB0" w:rsidR="00794008" w:rsidRDefault="00456E3E" w:rsidP="007B1BDB">
      <w:pPr>
        <w:spacing w:before="100" w:beforeAutospacing="1" w:after="100" w:afterAutospacing="1" w:line="360" w:lineRule="auto"/>
      </w:pPr>
      <w:r>
        <w:t>The data reveals various opinions on whether remittances have contributed to increasing savings. A small portion of people, 10.9%, strongly disagree that remittances have helped and believe their savings have decreased significantly, while 17.3% also disagree and say that their savings have decreased. On the other hand, 24.4% are neutral, indicating that remittances have not made a difference in their savings. In contrast, 30.8% agree that remittances have somewhat increased their savings, and 16.0% strongly agree that remittances have led to a significant increase in their savings. There is also a very small percentage, 0.6%, who do not fit into these categories. Overall, the majority of people believe that remittances have had a positive effect on their savings to varying extents.</w:t>
      </w:r>
    </w:p>
    <w:tbl>
      <w:tblPr>
        <w:tblW w:w="822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456E3E" w:rsidRPr="00DC3B5B" w14:paraId="6A3C78CA" w14:textId="77777777" w:rsidTr="0006750F">
        <w:trPr>
          <w:cantSplit/>
        </w:trPr>
        <w:tc>
          <w:tcPr>
            <w:tcW w:w="8229" w:type="dxa"/>
            <w:gridSpan w:val="6"/>
            <w:tcBorders>
              <w:top w:val="single" w:sz="4" w:space="0" w:color="auto"/>
              <w:bottom w:val="single" w:sz="4" w:space="0" w:color="auto"/>
            </w:tcBorders>
            <w:shd w:val="clear" w:color="auto" w:fill="auto"/>
            <w:vAlign w:val="center"/>
          </w:tcPr>
          <w:p w14:paraId="17992C12" w14:textId="77777777" w:rsidR="00456E3E" w:rsidRPr="00DC3B5B" w:rsidRDefault="00456E3E" w:rsidP="00326751">
            <w:pPr>
              <w:jc w:val="center"/>
            </w:pPr>
            <w:r w:rsidRPr="00DC3B5B">
              <w:t>Has the remittance improved your ability to afford education for family members?</w:t>
            </w:r>
          </w:p>
        </w:tc>
      </w:tr>
      <w:tr w:rsidR="00456E3E" w:rsidRPr="00E0677B" w14:paraId="6016E976" w14:textId="77777777" w:rsidTr="0006750F">
        <w:trPr>
          <w:cantSplit/>
        </w:trPr>
        <w:tc>
          <w:tcPr>
            <w:tcW w:w="3182" w:type="dxa"/>
            <w:gridSpan w:val="2"/>
            <w:tcBorders>
              <w:top w:val="single" w:sz="4" w:space="0" w:color="auto"/>
              <w:bottom w:val="single" w:sz="4" w:space="0" w:color="auto"/>
            </w:tcBorders>
            <w:shd w:val="clear" w:color="auto" w:fill="auto"/>
            <w:vAlign w:val="bottom"/>
          </w:tcPr>
          <w:p w14:paraId="2CF2DDD0" w14:textId="77777777" w:rsidR="00456E3E" w:rsidRPr="00E0677B" w:rsidRDefault="00456E3E" w:rsidP="007B1BDB">
            <w:pPr>
              <w:autoSpaceDE w:val="0"/>
              <w:autoSpaceDN w:val="0"/>
              <w:adjustRightInd w:val="0"/>
              <w:spacing w:after="0" w:line="360" w:lineRule="auto"/>
              <w:jc w:val="left"/>
              <w:rPr>
                <w:rFonts w:cs="Times New Roman"/>
                <w:szCs w:val="24"/>
              </w:rPr>
            </w:pPr>
          </w:p>
        </w:tc>
        <w:tc>
          <w:tcPr>
            <w:tcW w:w="1162" w:type="dxa"/>
            <w:tcBorders>
              <w:top w:val="single" w:sz="4" w:space="0" w:color="auto"/>
              <w:bottom w:val="single" w:sz="4" w:space="0" w:color="auto"/>
            </w:tcBorders>
            <w:shd w:val="clear" w:color="auto" w:fill="auto"/>
            <w:vAlign w:val="bottom"/>
          </w:tcPr>
          <w:p w14:paraId="7C3434C6"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Frequency</w:t>
            </w:r>
          </w:p>
        </w:tc>
        <w:tc>
          <w:tcPr>
            <w:tcW w:w="1024" w:type="dxa"/>
            <w:tcBorders>
              <w:top w:val="single" w:sz="4" w:space="0" w:color="auto"/>
              <w:bottom w:val="single" w:sz="4" w:space="0" w:color="auto"/>
            </w:tcBorders>
            <w:shd w:val="clear" w:color="auto" w:fill="auto"/>
            <w:vAlign w:val="bottom"/>
          </w:tcPr>
          <w:p w14:paraId="79D98351"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Percent</w:t>
            </w:r>
          </w:p>
        </w:tc>
        <w:tc>
          <w:tcPr>
            <w:tcW w:w="1392" w:type="dxa"/>
            <w:tcBorders>
              <w:top w:val="single" w:sz="4" w:space="0" w:color="auto"/>
              <w:bottom w:val="single" w:sz="4" w:space="0" w:color="auto"/>
            </w:tcBorders>
            <w:shd w:val="clear" w:color="auto" w:fill="auto"/>
            <w:vAlign w:val="bottom"/>
          </w:tcPr>
          <w:p w14:paraId="288FB024"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Valid Percent</w:t>
            </w:r>
          </w:p>
        </w:tc>
        <w:tc>
          <w:tcPr>
            <w:tcW w:w="1469" w:type="dxa"/>
            <w:tcBorders>
              <w:top w:val="single" w:sz="4" w:space="0" w:color="auto"/>
              <w:bottom w:val="single" w:sz="4" w:space="0" w:color="auto"/>
            </w:tcBorders>
            <w:shd w:val="clear" w:color="auto" w:fill="auto"/>
            <w:vAlign w:val="bottom"/>
          </w:tcPr>
          <w:p w14:paraId="2B651658"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Cumulative Percent</w:t>
            </w:r>
          </w:p>
        </w:tc>
      </w:tr>
      <w:tr w:rsidR="00456E3E" w:rsidRPr="00E0677B" w14:paraId="25F02088" w14:textId="77777777" w:rsidTr="0006750F">
        <w:trPr>
          <w:cantSplit/>
        </w:trPr>
        <w:tc>
          <w:tcPr>
            <w:tcW w:w="734" w:type="dxa"/>
            <w:vMerge w:val="restart"/>
            <w:tcBorders>
              <w:top w:val="single" w:sz="4" w:space="0" w:color="auto"/>
            </w:tcBorders>
            <w:shd w:val="clear" w:color="auto" w:fill="auto"/>
          </w:tcPr>
          <w:p w14:paraId="6A07363F" w14:textId="1777DC20"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4" w:space="0" w:color="auto"/>
            </w:tcBorders>
            <w:shd w:val="clear" w:color="auto" w:fill="auto"/>
          </w:tcPr>
          <w:p w14:paraId="31B8FBAF"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Disagree/Decreased significantly</w:t>
            </w:r>
          </w:p>
        </w:tc>
        <w:tc>
          <w:tcPr>
            <w:tcW w:w="1162" w:type="dxa"/>
            <w:tcBorders>
              <w:top w:val="single" w:sz="4" w:space="0" w:color="auto"/>
            </w:tcBorders>
            <w:shd w:val="clear" w:color="auto" w:fill="auto"/>
          </w:tcPr>
          <w:p w14:paraId="209C3886"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25</w:t>
            </w:r>
          </w:p>
        </w:tc>
        <w:tc>
          <w:tcPr>
            <w:tcW w:w="1024" w:type="dxa"/>
            <w:tcBorders>
              <w:top w:val="single" w:sz="4" w:space="0" w:color="auto"/>
            </w:tcBorders>
            <w:shd w:val="clear" w:color="auto" w:fill="auto"/>
          </w:tcPr>
          <w:p w14:paraId="24313F4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16.0</w:t>
            </w:r>
          </w:p>
        </w:tc>
        <w:tc>
          <w:tcPr>
            <w:tcW w:w="1392" w:type="dxa"/>
            <w:tcBorders>
              <w:top w:val="single" w:sz="4" w:space="0" w:color="auto"/>
            </w:tcBorders>
            <w:shd w:val="clear" w:color="auto" w:fill="auto"/>
          </w:tcPr>
          <w:p w14:paraId="10545A89"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16.0</w:t>
            </w:r>
          </w:p>
        </w:tc>
        <w:tc>
          <w:tcPr>
            <w:tcW w:w="1469" w:type="dxa"/>
            <w:tcBorders>
              <w:top w:val="single" w:sz="4" w:space="0" w:color="auto"/>
            </w:tcBorders>
            <w:shd w:val="clear" w:color="auto" w:fill="auto"/>
          </w:tcPr>
          <w:p w14:paraId="0F21FCE9"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16.0</w:t>
            </w:r>
          </w:p>
        </w:tc>
      </w:tr>
      <w:tr w:rsidR="00456E3E" w:rsidRPr="00E0677B" w14:paraId="124CBCCB" w14:textId="77777777" w:rsidTr="00E600CF">
        <w:trPr>
          <w:cantSplit/>
        </w:trPr>
        <w:tc>
          <w:tcPr>
            <w:tcW w:w="734" w:type="dxa"/>
            <w:vMerge/>
            <w:shd w:val="clear" w:color="auto" w:fill="auto"/>
          </w:tcPr>
          <w:p w14:paraId="081CC97E"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536A9035"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Disagree/ Decreased</w:t>
            </w:r>
          </w:p>
        </w:tc>
        <w:tc>
          <w:tcPr>
            <w:tcW w:w="1162" w:type="dxa"/>
            <w:shd w:val="clear" w:color="auto" w:fill="auto"/>
          </w:tcPr>
          <w:p w14:paraId="3A2B2C4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20</w:t>
            </w:r>
          </w:p>
        </w:tc>
        <w:tc>
          <w:tcPr>
            <w:tcW w:w="1024" w:type="dxa"/>
            <w:shd w:val="clear" w:color="auto" w:fill="auto"/>
          </w:tcPr>
          <w:p w14:paraId="254D7BC7"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12.8</w:t>
            </w:r>
          </w:p>
        </w:tc>
        <w:tc>
          <w:tcPr>
            <w:tcW w:w="1392" w:type="dxa"/>
            <w:shd w:val="clear" w:color="auto" w:fill="auto"/>
          </w:tcPr>
          <w:p w14:paraId="289243A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12.8</w:t>
            </w:r>
          </w:p>
        </w:tc>
        <w:tc>
          <w:tcPr>
            <w:tcW w:w="1469" w:type="dxa"/>
            <w:shd w:val="clear" w:color="auto" w:fill="auto"/>
          </w:tcPr>
          <w:p w14:paraId="0E3B418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28.8</w:t>
            </w:r>
          </w:p>
        </w:tc>
      </w:tr>
      <w:tr w:rsidR="00456E3E" w:rsidRPr="00E0677B" w14:paraId="61EA0EF9" w14:textId="77777777" w:rsidTr="00E600CF">
        <w:trPr>
          <w:cantSplit/>
        </w:trPr>
        <w:tc>
          <w:tcPr>
            <w:tcW w:w="734" w:type="dxa"/>
            <w:vMerge/>
            <w:shd w:val="clear" w:color="auto" w:fill="auto"/>
          </w:tcPr>
          <w:p w14:paraId="24F383CD"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2D1410F6"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Neutral/No change</w:t>
            </w:r>
          </w:p>
        </w:tc>
        <w:tc>
          <w:tcPr>
            <w:tcW w:w="1162" w:type="dxa"/>
            <w:shd w:val="clear" w:color="auto" w:fill="auto"/>
          </w:tcPr>
          <w:p w14:paraId="75DB7DC3"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22</w:t>
            </w:r>
          </w:p>
        </w:tc>
        <w:tc>
          <w:tcPr>
            <w:tcW w:w="1024" w:type="dxa"/>
            <w:shd w:val="clear" w:color="auto" w:fill="auto"/>
          </w:tcPr>
          <w:p w14:paraId="00749E3A"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14.1</w:t>
            </w:r>
          </w:p>
        </w:tc>
        <w:tc>
          <w:tcPr>
            <w:tcW w:w="1392" w:type="dxa"/>
            <w:shd w:val="clear" w:color="auto" w:fill="auto"/>
          </w:tcPr>
          <w:p w14:paraId="14E6B844"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14.1</w:t>
            </w:r>
          </w:p>
        </w:tc>
        <w:tc>
          <w:tcPr>
            <w:tcW w:w="1469" w:type="dxa"/>
            <w:shd w:val="clear" w:color="auto" w:fill="auto"/>
          </w:tcPr>
          <w:p w14:paraId="7237CE16"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42.9</w:t>
            </w:r>
          </w:p>
        </w:tc>
      </w:tr>
      <w:tr w:rsidR="00456E3E" w:rsidRPr="00E0677B" w14:paraId="011FA6D7" w14:textId="77777777" w:rsidTr="00E600CF">
        <w:trPr>
          <w:cantSplit/>
        </w:trPr>
        <w:tc>
          <w:tcPr>
            <w:tcW w:w="734" w:type="dxa"/>
            <w:vMerge/>
            <w:shd w:val="clear" w:color="auto" w:fill="auto"/>
          </w:tcPr>
          <w:p w14:paraId="6B4D5B1E"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shd w:val="clear" w:color="auto" w:fill="auto"/>
          </w:tcPr>
          <w:p w14:paraId="11AD86FC"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Agree/Yes, somewhat</w:t>
            </w:r>
          </w:p>
        </w:tc>
        <w:tc>
          <w:tcPr>
            <w:tcW w:w="1162" w:type="dxa"/>
            <w:shd w:val="clear" w:color="auto" w:fill="auto"/>
          </w:tcPr>
          <w:p w14:paraId="49203967"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43</w:t>
            </w:r>
          </w:p>
        </w:tc>
        <w:tc>
          <w:tcPr>
            <w:tcW w:w="1024" w:type="dxa"/>
            <w:shd w:val="clear" w:color="auto" w:fill="auto"/>
          </w:tcPr>
          <w:p w14:paraId="744705AC"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27.6</w:t>
            </w:r>
          </w:p>
        </w:tc>
        <w:tc>
          <w:tcPr>
            <w:tcW w:w="1392" w:type="dxa"/>
            <w:shd w:val="clear" w:color="auto" w:fill="auto"/>
          </w:tcPr>
          <w:p w14:paraId="63B18ED8"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27.6</w:t>
            </w:r>
          </w:p>
        </w:tc>
        <w:tc>
          <w:tcPr>
            <w:tcW w:w="1469" w:type="dxa"/>
            <w:shd w:val="clear" w:color="auto" w:fill="auto"/>
          </w:tcPr>
          <w:p w14:paraId="2DC1DBF2"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70.5</w:t>
            </w:r>
          </w:p>
        </w:tc>
      </w:tr>
      <w:tr w:rsidR="00456E3E" w:rsidRPr="00E0677B" w14:paraId="4DA342C5" w14:textId="77777777" w:rsidTr="00E600CF">
        <w:trPr>
          <w:cantSplit/>
        </w:trPr>
        <w:tc>
          <w:tcPr>
            <w:tcW w:w="734" w:type="dxa"/>
            <w:vMerge/>
            <w:shd w:val="clear" w:color="auto" w:fill="auto"/>
          </w:tcPr>
          <w:p w14:paraId="36502401"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bottom w:val="nil"/>
            </w:tcBorders>
            <w:shd w:val="clear" w:color="auto" w:fill="auto"/>
          </w:tcPr>
          <w:p w14:paraId="3B82000C"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Agree/Yes, significantly</w:t>
            </w:r>
          </w:p>
        </w:tc>
        <w:tc>
          <w:tcPr>
            <w:tcW w:w="1162" w:type="dxa"/>
            <w:tcBorders>
              <w:bottom w:val="nil"/>
            </w:tcBorders>
            <w:shd w:val="clear" w:color="auto" w:fill="auto"/>
          </w:tcPr>
          <w:p w14:paraId="0548AED2"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44</w:t>
            </w:r>
          </w:p>
        </w:tc>
        <w:tc>
          <w:tcPr>
            <w:tcW w:w="1024" w:type="dxa"/>
            <w:tcBorders>
              <w:bottom w:val="nil"/>
            </w:tcBorders>
            <w:shd w:val="clear" w:color="auto" w:fill="auto"/>
          </w:tcPr>
          <w:p w14:paraId="50675553"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28.2</w:t>
            </w:r>
          </w:p>
        </w:tc>
        <w:tc>
          <w:tcPr>
            <w:tcW w:w="1392" w:type="dxa"/>
            <w:tcBorders>
              <w:bottom w:val="nil"/>
            </w:tcBorders>
            <w:shd w:val="clear" w:color="auto" w:fill="auto"/>
          </w:tcPr>
          <w:p w14:paraId="27414358"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28.2</w:t>
            </w:r>
          </w:p>
        </w:tc>
        <w:tc>
          <w:tcPr>
            <w:tcW w:w="1469" w:type="dxa"/>
            <w:tcBorders>
              <w:bottom w:val="nil"/>
            </w:tcBorders>
            <w:shd w:val="clear" w:color="auto" w:fill="auto"/>
          </w:tcPr>
          <w:p w14:paraId="0DC159EB"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r>
      <w:tr w:rsidR="00456E3E" w:rsidRPr="00E0677B" w14:paraId="30BA3ABF" w14:textId="77777777" w:rsidTr="00E600CF">
        <w:trPr>
          <w:cantSplit/>
          <w:trHeight w:val="143"/>
        </w:trPr>
        <w:tc>
          <w:tcPr>
            <w:tcW w:w="734" w:type="dxa"/>
            <w:vMerge/>
            <w:shd w:val="clear" w:color="auto" w:fill="auto"/>
          </w:tcPr>
          <w:p w14:paraId="0B455477"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7495" w:type="dxa"/>
            <w:gridSpan w:val="5"/>
            <w:tcBorders>
              <w:top w:val="nil"/>
              <w:bottom w:val="single" w:sz="4" w:space="0" w:color="auto"/>
            </w:tcBorders>
            <w:shd w:val="clear" w:color="auto" w:fill="auto"/>
          </w:tcPr>
          <w:p w14:paraId="7DC604FC"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Total</w:t>
            </w:r>
            <w:r w:rsidRPr="00E0677B">
              <w:rPr>
                <w:rFonts w:ascii="Arial" w:hAnsi="Arial" w:cs="Arial"/>
                <w:sz w:val="18"/>
                <w:szCs w:val="18"/>
              </w:rPr>
              <w:tab/>
              <w:t>156</w:t>
            </w:r>
            <w:r w:rsidRPr="00E0677B">
              <w:rPr>
                <w:rFonts w:ascii="Arial" w:hAnsi="Arial" w:cs="Arial"/>
                <w:sz w:val="18"/>
                <w:szCs w:val="18"/>
              </w:rPr>
              <w:tab/>
              <w:t>100.0</w:t>
            </w:r>
            <w:r w:rsidRPr="00E0677B">
              <w:rPr>
                <w:rFonts w:ascii="Arial" w:hAnsi="Arial" w:cs="Arial"/>
                <w:sz w:val="18"/>
                <w:szCs w:val="18"/>
              </w:rPr>
              <w:tab/>
              <w:t>100.0</w:t>
            </w:r>
            <w:r w:rsidRPr="00E0677B">
              <w:rPr>
                <w:rFonts w:ascii="Arial" w:hAnsi="Arial" w:cs="Arial"/>
                <w:sz w:val="18"/>
                <w:szCs w:val="18"/>
              </w:rPr>
              <w:tab/>
            </w:r>
          </w:p>
        </w:tc>
      </w:tr>
      <w:tr w:rsidR="00456E3E" w:rsidRPr="00E0677B" w14:paraId="26767E1F" w14:textId="77777777" w:rsidTr="00E600CF">
        <w:trPr>
          <w:gridAfter w:val="5"/>
          <w:wAfter w:w="7495" w:type="dxa"/>
          <w:cantSplit/>
          <w:trHeight w:val="310"/>
        </w:trPr>
        <w:tc>
          <w:tcPr>
            <w:tcW w:w="734" w:type="dxa"/>
            <w:vMerge/>
            <w:shd w:val="clear" w:color="auto" w:fill="auto"/>
          </w:tcPr>
          <w:p w14:paraId="736C8D52"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r>
    </w:tbl>
    <w:p w14:paraId="2E9C6735" w14:textId="6DEE294A" w:rsidR="00EF288D" w:rsidRDefault="00EF288D" w:rsidP="007B1BDB">
      <w:pPr>
        <w:spacing w:before="100" w:beforeAutospacing="1" w:after="100" w:afterAutospacing="1" w:line="360" w:lineRule="auto"/>
      </w:pPr>
      <w:r>
        <w:t xml:space="preserve">     Fig-4.20: I</w:t>
      </w:r>
      <w:r w:rsidRPr="00DC3B5B">
        <w:t xml:space="preserve">mproved </w:t>
      </w:r>
      <w:r>
        <w:t>in</w:t>
      </w:r>
      <w:r w:rsidRPr="00DC3B5B">
        <w:t xml:space="preserve"> ability to afford education for family members</w:t>
      </w:r>
    </w:p>
    <w:p w14:paraId="7FC0841C" w14:textId="7B3EADBF" w:rsidR="00456E3E" w:rsidRDefault="00456E3E" w:rsidP="007B1BDB">
      <w:pPr>
        <w:spacing w:before="100" w:beforeAutospacing="1" w:after="100" w:afterAutospacing="1" w:line="360" w:lineRule="auto"/>
      </w:pPr>
      <w:r>
        <w:t>The data illustrates how remittances have affected people’s ability to afford education for their family members. A significant portion, 16.0%, strongly disagrees that remittances have helped and believes they have decreased their ability to pay for education significantly. Additionally, 12.8% disagree and feel that remittances have somewhat decreased their ability to afford education. On the other hand, 14.1% are neutral, stating that remittances have made no difference in their ability to pay for education. In contrast, 27.6% agree that remittances have somewhat improved their ability to afford education, and 28.2% strongly agree that remittances have significantly improved their ability to pay for educational expenses. Overall, the majority of people believe that remittances have had a positive impact on their ability to afford education for their family members.</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456E3E" w:rsidRPr="00DC3B5B" w14:paraId="6456CD8E" w14:textId="77777777" w:rsidTr="00456E3E">
        <w:trPr>
          <w:cantSplit/>
        </w:trPr>
        <w:tc>
          <w:tcPr>
            <w:tcW w:w="8229" w:type="dxa"/>
            <w:gridSpan w:val="6"/>
            <w:tcBorders>
              <w:top w:val="nil"/>
              <w:left w:val="nil"/>
              <w:bottom w:val="nil"/>
              <w:right w:val="nil"/>
            </w:tcBorders>
            <w:shd w:val="clear" w:color="auto" w:fill="auto"/>
            <w:vAlign w:val="center"/>
          </w:tcPr>
          <w:p w14:paraId="71339E8F" w14:textId="77777777" w:rsidR="00456E3E" w:rsidRPr="00DC3B5B" w:rsidRDefault="00456E3E" w:rsidP="00326751">
            <w:pPr>
              <w:jc w:val="center"/>
            </w:pPr>
            <w:r w:rsidRPr="00DC3B5B">
              <w:t>Has the remittance improved your access to healthcare?</w:t>
            </w:r>
          </w:p>
        </w:tc>
      </w:tr>
      <w:tr w:rsidR="00456E3E" w:rsidRPr="00E0677B" w14:paraId="50CD45D9" w14:textId="77777777" w:rsidTr="00456E3E">
        <w:trPr>
          <w:cantSplit/>
        </w:trPr>
        <w:tc>
          <w:tcPr>
            <w:tcW w:w="3182" w:type="dxa"/>
            <w:gridSpan w:val="2"/>
            <w:tcBorders>
              <w:top w:val="nil"/>
              <w:left w:val="nil"/>
              <w:bottom w:val="single" w:sz="8" w:space="0" w:color="152935"/>
              <w:right w:val="nil"/>
            </w:tcBorders>
            <w:shd w:val="clear" w:color="auto" w:fill="auto"/>
            <w:vAlign w:val="bottom"/>
          </w:tcPr>
          <w:p w14:paraId="7118B94B" w14:textId="77777777" w:rsidR="00456E3E" w:rsidRPr="00E0677B" w:rsidRDefault="00456E3E" w:rsidP="007B1BDB">
            <w:pPr>
              <w:autoSpaceDE w:val="0"/>
              <w:autoSpaceDN w:val="0"/>
              <w:adjustRightInd w:val="0"/>
              <w:spacing w:after="0" w:line="360" w:lineRule="auto"/>
              <w:jc w:val="left"/>
              <w:rPr>
                <w:rFonts w:cs="Times New Roman"/>
                <w:szCs w:val="24"/>
              </w:rPr>
            </w:pPr>
          </w:p>
        </w:tc>
        <w:tc>
          <w:tcPr>
            <w:tcW w:w="1162" w:type="dxa"/>
            <w:tcBorders>
              <w:top w:val="nil"/>
              <w:left w:val="nil"/>
              <w:bottom w:val="single" w:sz="8" w:space="0" w:color="152935"/>
              <w:right w:val="single" w:sz="8" w:space="0" w:color="E0E0E0"/>
            </w:tcBorders>
            <w:shd w:val="clear" w:color="auto" w:fill="auto"/>
            <w:vAlign w:val="bottom"/>
          </w:tcPr>
          <w:p w14:paraId="5C8963FC"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auto"/>
            <w:vAlign w:val="bottom"/>
          </w:tcPr>
          <w:p w14:paraId="1DCDB090"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auto"/>
            <w:vAlign w:val="bottom"/>
          </w:tcPr>
          <w:p w14:paraId="76FB3B02"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Valid Percent</w:t>
            </w:r>
          </w:p>
        </w:tc>
        <w:tc>
          <w:tcPr>
            <w:tcW w:w="1469" w:type="dxa"/>
            <w:tcBorders>
              <w:top w:val="nil"/>
              <w:left w:val="single" w:sz="8" w:space="0" w:color="E0E0E0"/>
              <w:bottom w:val="single" w:sz="8" w:space="0" w:color="152935"/>
              <w:right w:val="nil"/>
            </w:tcBorders>
            <w:shd w:val="clear" w:color="auto" w:fill="auto"/>
            <w:vAlign w:val="bottom"/>
          </w:tcPr>
          <w:p w14:paraId="1F13AC7F"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Cumulative Percent</w:t>
            </w:r>
          </w:p>
        </w:tc>
      </w:tr>
      <w:tr w:rsidR="00456E3E" w:rsidRPr="00E0677B" w14:paraId="7EB25F0A" w14:textId="77777777" w:rsidTr="00456E3E">
        <w:trPr>
          <w:cantSplit/>
        </w:trPr>
        <w:tc>
          <w:tcPr>
            <w:tcW w:w="734" w:type="dxa"/>
            <w:vMerge w:val="restart"/>
            <w:tcBorders>
              <w:top w:val="single" w:sz="8" w:space="0" w:color="152935"/>
              <w:left w:val="nil"/>
              <w:bottom w:val="single" w:sz="8" w:space="0" w:color="152935"/>
              <w:right w:val="nil"/>
            </w:tcBorders>
            <w:shd w:val="clear" w:color="auto" w:fill="auto"/>
          </w:tcPr>
          <w:p w14:paraId="6DFD7B22"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Valid</w:t>
            </w:r>
          </w:p>
        </w:tc>
        <w:tc>
          <w:tcPr>
            <w:tcW w:w="2448" w:type="dxa"/>
            <w:tcBorders>
              <w:top w:val="single" w:sz="8" w:space="0" w:color="152935"/>
              <w:left w:val="nil"/>
              <w:bottom w:val="single" w:sz="8" w:space="0" w:color="AEAEAE"/>
              <w:right w:val="nil"/>
            </w:tcBorders>
            <w:shd w:val="clear" w:color="auto" w:fill="auto"/>
          </w:tcPr>
          <w:p w14:paraId="3069B75F"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Disagree/Decreased significantly</w:t>
            </w:r>
          </w:p>
        </w:tc>
        <w:tc>
          <w:tcPr>
            <w:tcW w:w="1162" w:type="dxa"/>
            <w:tcBorders>
              <w:top w:val="single" w:sz="8" w:space="0" w:color="152935"/>
              <w:left w:val="nil"/>
              <w:bottom w:val="single" w:sz="8" w:space="0" w:color="AEAEAE"/>
              <w:right w:val="single" w:sz="8" w:space="0" w:color="E0E0E0"/>
            </w:tcBorders>
            <w:shd w:val="clear" w:color="auto" w:fill="auto"/>
          </w:tcPr>
          <w:p w14:paraId="62AC8044"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auto"/>
          </w:tcPr>
          <w:p w14:paraId="0EC198DB"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12.8</w:t>
            </w:r>
          </w:p>
        </w:tc>
        <w:tc>
          <w:tcPr>
            <w:tcW w:w="1392" w:type="dxa"/>
            <w:tcBorders>
              <w:top w:val="single" w:sz="8" w:space="0" w:color="152935"/>
              <w:left w:val="single" w:sz="8" w:space="0" w:color="E0E0E0"/>
              <w:bottom w:val="single" w:sz="8" w:space="0" w:color="AEAEAE"/>
              <w:right w:val="single" w:sz="8" w:space="0" w:color="E0E0E0"/>
            </w:tcBorders>
            <w:shd w:val="clear" w:color="auto" w:fill="auto"/>
          </w:tcPr>
          <w:p w14:paraId="3411CF78"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12.8</w:t>
            </w:r>
          </w:p>
        </w:tc>
        <w:tc>
          <w:tcPr>
            <w:tcW w:w="1469" w:type="dxa"/>
            <w:tcBorders>
              <w:top w:val="single" w:sz="8" w:space="0" w:color="152935"/>
              <w:left w:val="single" w:sz="8" w:space="0" w:color="E0E0E0"/>
              <w:bottom w:val="single" w:sz="8" w:space="0" w:color="AEAEAE"/>
              <w:right w:val="nil"/>
            </w:tcBorders>
            <w:shd w:val="clear" w:color="auto" w:fill="auto"/>
          </w:tcPr>
          <w:p w14:paraId="2A50F42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12.8</w:t>
            </w:r>
          </w:p>
        </w:tc>
      </w:tr>
      <w:tr w:rsidR="00456E3E" w:rsidRPr="00E0677B" w14:paraId="7E7166B9"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1BF506A9"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220D36F8"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Disagree/ Decreased</w:t>
            </w:r>
          </w:p>
        </w:tc>
        <w:tc>
          <w:tcPr>
            <w:tcW w:w="1162" w:type="dxa"/>
            <w:tcBorders>
              <w:top w:val="single" w:sz="8" w:space="0" w:color="AEAEAE"/>
              <w:left w:val="nil"/>
              <w:bottom w:val="single" w:sz="8" w:space="0" w:color="AEAEAE"/>
              <w:right w:val="single" w:sz="8" w:space="0" w:color="E0E0E0"/>
            </w:tcBorders>
            <w:shd w:val="clear" w:color="auto" w:fill="auto"/>
          </w:tcPr>
          <w:p w14:paraId="70029D0F"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2F5047E7"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15.4</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35E341B5"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15.4</w:t>
            </w:r>
          </w:p>
        </w:tc>
        <w:tc>
          <w:tcPr>
            <w:tcW w:w="1469" w:type="dxa"/>
            <w:tcBorders>
              <w:top w:val="single" w:sz="8" w:space="0" w:color="AEAEAE"/>
              <w:left w:val="single" w:sz="8" w:space="0" w:color="E0E0E0"/>
              <w:bottom w:val="single" w:sz="8" w:space="0" w:color="AEAEAE"/>
              <w:right w:val="nil"/>
            </w:tcBorders>
            <w:shd w:val="clear" w:color="auto" w:fill="auto"/>
          </w:tcPr>
          <w:p w14:paraId="6A5C9FF5"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28.2</w:t>
            </w:r>
          </w:p>
        </w:tc>
      </w:tr>
      <w:tr w:rsidR="00456E3E" w:rsidRPr="00E0677B" w14:paraId="2A567490"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5F7EB68D"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1B2E1611"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Neutral/No change</w:t>
            </w:r>
          </w:p>
        </w:tc>
        <w:tc>
          <w:tcPr>
            <w:tcW w:w="1162" w:type="dxa"/>
            <w:tcBorders>
              <w:top w:val="single" w:sz="8" w:space="0" w:color="AEAEAE"/>
              <w:left w:val="nil"/>
              <w:bottom w:val="single" w:sz="8" w:space="0" w:color="AEAEAE"/>
              <w:right w:val="single" w:sz="8" w:space="0" w:color="E0E0E0"/>
            </w:tcBorders>
            <w:shd w:val="clear" w:color="auto" w:fill="auto"/>
          </w:tcPr>
          <w:p w14:paraId="521151A8"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7D767EC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13.5</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45EBB0CD"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13.5</w:t>
            </w:r>
          </w:p>
        </w:tc>
        <w:tc>
          <w:tcPr>
            <w:tcW w:w="1469" w:type="dxa"/>
            <w:tcBorders>
              <w:top w:val="single" w:sz="8" w:space="0" w:color="AEAEAE"/>
              <w:left w:val="single" w:sz="8" w:space="0" w:color="E0E0E0"/>
              <w:bottom w:val="single" w:sz="8" w:space="0" w:color="AEAEAE"/>
              <w:right w:val="nil"/>
            </w:tcBorders>
            <w:shd w:val="clear" w:color="auto" w:fill="auto"/>
          </w:tcPr>
          <w:p w14:paraId="7DEA8DFF"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41.7</w:t>
            </w:r>
          </w:p>
        </w:tc>
      </w:tr>
      <w:tr w:rsidR="00456E3E" w:rsidRPr="00E0677B" w14:paraId="490FC182"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51C274C7"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2C06E689"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Agree/Yes, somewhat</w:t>
            </w:r>
          </w:p>
        </w:tc>
        <w:tc>
          <w:tcPr>
            <w:tcW w:w="1162" w:type="dxa"/>
            <w:tcBorders>
              <w:top w:val="single" w:sz="8" w:space="0" w:color="AEAEAE"/>
              <w:left w:val="nil"/>
              <w:bottom w:val="single" w:sz="8" w:space="0" w:color="AEAEAE"/>
              <w:right w:val="single" w:sz="8" w:space="0" w:color="E0E0E0"/>
            </w:tcBorders>
            <w:shd w:val="clear" w:color="auto" w:fill="auto"/>
          </w:tcPr>
          <w:p w14:paraId="1FC6F35B"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49</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2E72BEE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31.4</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031188E5"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31.4</w:t>
            </w:r>
          </w:p>
        </w:tc>
        <w:tc>
          <w:tcPr>
            <w:tcW w:w="1469" w:type="dxa"/>
            <w:tcBorders>
              <w:top w:val="single" w:sz="8" w:space="0" w:color="AEAEAE"/>
              <w:left w:val="single" w:sz="8" w:space="0" w:color="E0E0E0"/>
              <w:bottom w:val="single" w:sz="8" w:space="0" w:color="AEAEAE"/>
              <w:right w:val="nil"/>
            </w:tcBorders>
            <w:shd w:val="clear" w:color="auto" w:fill="auto"/>
          </w:tcPr>
          <w:p w14:paraId="52BD73C9"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73.1</w:t>
            </w:r>
          </w:p>
        </w:tc>
      </w:tr>
      <w:tr w:rsidR="00456E3E" w:rsidRPr="00E0677B" w14:paraId="78ECC8EA"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7C7F80C0"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427B2E80"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Agree/Yes, significantly</w:t>
            </w:r>
          </w:p>
        </w:tc>
        <w:tc>
          <w:tcPr>
            <w:tcW w:w="1162" w:type="dxa"/>
            <w:tcBorders>
              <w:top w:val="single" w:sz="8" w:space="0" w:color="AEAEAE"/>
              <w:left w:val="nil"/>
              <w:bottom w:val="single" w:sz="8" w:space="0" w:color="AEAEAE"/>
              <w:right w:val="single" w:sz="8" w:space="0" w:color="E0E0E0"/>
            </w:tcBorders>
            <w:shd w:val="clear" w:color="auto" w:fill="auto"/>
          </w:tcPr>
          <w:p w14:paraId="0AB3BBF2"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2C3DE56B"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26.3</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5D96FDA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26.3</w:t>
            </w:r>
          </w:p>
        </w:tc>
        <w:tc>
          <w:tcPr>
            <w:tcW w:w="1469" w:type="dxa"/>
            <w:tcBorders>
              <w:top w:val="single" w:sz="8" w:space="0" w:color="AEAEAE"/>
              <w:left w:val="single" w:sz="8" w:space="0" w:color="E0E0E0"/>
              <w:bottom w:val="single" w:sz="8" w:space="0" w:color="AEAEAE"/>
              <w:right w:val="nil"/>
            </w:tcBorders>
            <w:shd w:val="clear" w:color="auto" w:fill="auto"/>
          </w:tcPr>
          <w:p w14:paraId="048EE4D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99.4</w:t>
            </w:r>
          </w:p>
        </w:tc>
      </w:tr>
      <w:tr w:rsidR="00456E3E" w:rsidRPr="00E0677B" w14:paraId="0C8F207B"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2EE4B28B"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16A249F4"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6</w:t>
            </w:r>
          </w:p>
        </w:tc>
        <w:tc>
          <w:tcPr>
            <w:tcW w:w="1162" w:type="dxa"/>
            <w:tcBorders>
              <w:top w:val="single" w:sz="8" w:space="0" w:color="AEAEAE"/>
              <w:left w:val="nil"/>
              <w:bottom w:val="single" w:sz="8" w:space="0" w:color="AEAEAE"/>
              <w:right w:val="single" w:sz="8" w:space="0" w:color="E0E0E0"/>
            </w:tcBorders>
            <w:shd w:val="clear" w:color="auto" w:fill="auto"/>
          </w:tcPr>
          <w:p w14:paraId="6AFBC5B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57DDFB64"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7A01FE6C"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.6</w:t>
            </w:r>
          </w:p>
        </w:tc>
        <w:tc>
          <w:tcPr>
            <w:tcW w:w="1469" w:type="dxa"/>
            <w:tcBorders>
              <w:top w:val="single" w:sz="8" w:space="0" w:color="AEAEAE"/>
              <w:left w:val="single" w:sz="8" w:space="0" w:color="E0E0E0"/>
              <w:bottom w:val="single" w:sz="8" w:space="0" w:color="AEAEAE"/>
              <w:right w:val="nil"/>
            </w:tcBorders>
            <w:shd w:val="clear" w:color="auto" w:fill="auto"/>
          </w:tcPr>
          <w:p w14:paraId="398A5FEF"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r>
      <w:tr w:rsidR="00456E3E" w:rsidRPr="00E0677B" w14:paraId="04FF7FE4"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69DDBB30"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152935"/>
              <w:right w:val="nil"/>
            </w:tcBorders>
            <w:shd w:val="clear" w:color="auto" w:fill="auto"/>
          </w:tcPr>
          <w:p w14:paraId="7A631C97"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Total</w:t>
            </w:r>
          </w:p>
        </w:tc>
        <w:tc>
          <w:tcPr>
            <w:tcW w:w="1162" w:type="dxa"/>
            <w:tcBorders>
              <w:top w:val="single" w:sz="8" w:space="0" w:color="AEAEAE"/>
              <w:left w:val="nil"/>
              <w:bottom w:val="single" w:sz="8" w:space="0" w:color="152935"/>
              <w:right w:val="single" w:sz="8" w:space="0" w:color="E0E0E0"/>
            </w:tcBorders>
            <w:shd w:val="clear" w:color="auto" w:fill="auto"/>
          </w:tcPr>
          <w:p w14:paraId="474CCC3C"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156</w:t>
            </w:r>
          </w:p>
        </w:tc>
        <w:tc>
          <w:tcPr>
            <w:tcW w:w="1024" w:type="dxa"/>
            <w:tcBorders>
              <w:top w:val="single" w:sz="8" w:space="0" w:color="AEAEAE"/>
              <w:left w:val="single" w:sz="8" w:space="0" w:color="E0E0E0"/>
              <w:bottom w:val="single" w:sz="8" w:space="0" w:color="152935"/>
              <w:right w:val="single" w:sz="8" w:space="0" w:color="E0E0E0"/>
            </w:tcBorders>
            <w:shd w:val="clear" w:color="auto" w:fill="auto"/>
          </w:tcPr>
          <w:p w14:paraId="6843EB8B"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auto"/>
          </w:tcPr>
          <w:p w14:paraId="10B013DB"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469" w:type="dxa"/>
            <w:tcBorders>
              <w:top w:val="single" w:sz="8" w:space="0" w:color="AEAEAE"/>
              <w:left w:val="single" w:sz="8" w:space="0" w:color="E0E0E0"/>
              <w:bottom w:val="single" w:sz="8" w:space="0" w:color="152935"/>
              <w:right w:val="nil"/>
            </w:tcBorders>
            <w:shd w:val="clear" w:color="auto" w:fill="auto"/>
            <w:vAlign w:val="center"/>
          </w:tcPr>
          <w:p w14:paraId="4DF682AA" w14:textId="77777777" w:rsidR="00456E3E" w:rsidRPr="00E0677B" w:rsidRDefault="00456E3E" w:rsidP="007B1BDB">
            <w:pPr>
              <w:autoSpaceDE w:val="0"/>
              <w:autoSpaceDN w:val="0"/>
              <w:adjustRightInd w:val="0"/>
              <w:spacing w:after="0" w:line="360" w:lineRule="auto"/>
              <w:jc w:val="left"/>
              <w:rPr>
                <w:rFonts w:cs="Times New Roman"/>
                <w:szCs w:val="24"/>
              </w:rPr>
            </w:pPr>
          </w:p>
        </w:tc>
      </w:tr>
    </w:tbl>
    <w:p w14:paraId="30528352" w14:textId="2AE385DB" w:rsidR="00F76C88" w:rsidRDefault="00F76C88"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Fig-4.21: Improved in access to healthcare</w:t>
      </w:r>
    </w:p>
    <w:p w14:paraId="2EF7BDA8" w14:textId="79F7BE75" w:rsidR="00456E3E" w:rsidRDefault="00456E3E" w:rsidP="007B1BDB">
      <w:pPr>
        <w:spacing w:before="100" w:beforeAutospacing="1" w:after="100" w:afterAutospacing="1" w:line="360" w:lineRule="auto"/>
        <w:rPr>
          <w:rFonts w:eastAsia="Times New Roman" w:cs="Times New Roman"/>
          <w:color w:val="auto"/>
          <w:szCs w:val="24"/>
        </w:rPr>
      </w:pPr>
      <w:r w:rsidRPr="00456E3E">
        <w:rPr>
          <w:rFonts w:eastAsia="Times New Roman" w:cs="Times New Roman"/>
          <w:color w:val="auto"/>
          <w:szCs w:val="24"/>
        </w:rPr>
        <w:lastRenderedPageBreak/>
        <w:t>The data reveals how remittances have impacted people’s access to healthcare. A small group, 12.8%, strongly disagrees that remittances have improved their access to healthcare, feeling that these funds have significantly decreased their healthcare access. Another 15.4% disagree and think that remittances have somewhat decreased their access to healthcare. 13.5% are neutral, saying that remittances have made no difference in their access to healthcare. On the other hand, 31.4% agree that remittances have somewhat improved their access to healthcare, and 26.3% strongly agree that remittances have significantly improved their access to healthcare. Overall, the majority of people believe that remittances have had a positive impact on their access to healthcare services.</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456E3E" w:rsidRPr="00E0677B" w14:paraId="55AB7B8F" w14:textId="77777777" w:rsidTr="00456E3E">
        <w:trPr>
          <w:cantSplit/>
        </w:trPr>
        <w:tc>
          <w:tcPr>
            <w:tcW w:w="8229" w:type="dxa"/>
            <w:gridSpan w:val="6"/>
            <w:tcBorders>
              <w:top w:val="nil"/>
              <w:left w:val="nil"/>
              <w:bottom w:val="nil"/>
              <w:right w:val="nil"/>
            </w:tcBorders>
            <w:shd w:val="clear" w:color="auto" w:fill="auto"/>
            <w:vAlign w:val="center"/>
          </w:tcPr>
          <w:p w14:paraId="2BED9CF7" w14:textId="77777777" w:rsidR="00456E3E" w:rsidRPr="00E0677B" w:rsidRDefault="00456E3E" w:rsidP="007B1BDB">
            <w:pPr>
              <w:spacing w:line="360" w:lineRule="auto"/>
              <w:jc w:val="center"/>
            </w:pPr>
            <w:r w:rsidRPr="00E0677B">
              <w:t>Has the remittance contributed to better housing conditions?</w:t>
            </w:r>
          </w:p>
        </w:tc>
      </w:tr>
      <w:tr w:rsidR="00456E3E" w:rsidRPr="00E0677B" w14:paraId="520BBA9E" w14:textId="77777777" w:rsidTr="00456E3E">
        <w:trPr>
          <w:cantSplit/>
        </w:trPr>
        <w:tc>
          <w:tcPr>
            <w:tcW w:w="3182" w:type="dxa"/>
            <w:gridSpan w:val="2"/>
            <w:tcBorders>
              <w:top w:val="nil"/>
              <w:left w:val="nil"/>
              <w:bottom w:val="single" w:sz="8" w:space="0" w:color="152935"/>
              <w:right w:val="nil"/>
            </w:tcBorders>
            <w:shd w:val="clear" w:color="auto" w:fill="auto"/>
            <w:vAlign w:val="bottom"/>
          </w:tcPr>
          <w:p w14:paraId="2EAFEFE5" w14:textId="77777777" w:rsidR="00456E3E" w:rsidRPr="00E0677B" w:rsidRDefault="00456E3E" w:rsidP="007B1BDB">
            <w:pPr>
              <w:autoSpaceDE w:val="0"/>
              <w:autoSpaceDN w:val="0"/>
              <w:adjustRightInd w:val="0"/>
              <w:spacing w:after="0" w:line="360" w:lineRule="auto"/>
              <w:jc w:val="left"/>
              <w:rPr>
                <w:rFonts w:cs="Times New Roman"/>
                <w:szCs w:val="24"/>
              </w:rPr>
            </w:pPr>
          </w:p>
        </w:tc>
        <w:tc>
          <w:tcPr>
            <w:tcW w:w="1162" w:type="dxa"/>
            <w:tcBorders>
              <w:top w:val="nil"/>
              <w:left w:val="nil"/>
              <w:bottom w:val="single" w:sz="8" w:space="0" w:color="152935"/>
              <w:right w:val="single" w:sz="8" w:space="0" w:color="E0E0E0"/>
            </w:tcBorders>
            <w:shd w:val="clear" w:color="auto" w:fill="auto"/>
            <w:vAlign w:val="bottom"/>
          </w:tcPr>
          <w:p w14:paraId="2E9300F4"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auto"/>
            <w:vAlign w:val="bottom"/>
          </w:tcPr>
          <w:p w14:paraId="58986589"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auto"/>
            <w:vAlign w:val="bottom"/>
          </w:tcPr>
          <w:p w14:paraId="697C0AE4"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Valid Percent</w:t>
            </w:r>
          </w:p>
        </w:tc>
        <w:tc>
          <w:tcPr>
            <w:tcW w:w="1469" w:type="dxa"/>
            <w:tcBorders>
              <w:top w:val="nil"/>
              <w:left w:val="single" w:sz="8" w:space="0" w:color="E0E0E0"/>
              <w:bottom w:val="single" w:sz="8" w:space="0" w:color="152935"/>
              <w:right w:val="nil"/>
            </w:tcBorders>
            <w:shd w:val="clear" w:color="auto" w:fill="auto"/>
            <w:vAlign w:val="bottom"/>
          </w:tcPr>
          <w:p w14:paraId="56BAA9AA"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Cumulative Percent</w:t>
            </w:r>
          </w:p>
        </w:tc>
      </w:tr>
      <w:tr w:rsidR="00456E3E" w:rsidRPr="00E0677B" w14:paraId="6B04C5E1" w14:textId="77777777" w:rsidTr="00456E3E">
        <w:trPr>
          <w:cantSplit/>
        </w:trPr>
        <w:tc>
          <w:tcPr>
            <w:tcW w:w="734" w:type="dxa"/>
            <w:vMerge w:val="restart"/>
            <w:tcBorders>
              <w:top w:val="single" w:sz="8" w:space="0" w:color="152935"/>
              <w:left w:val="nil"/>
              <w:bottom w:val="single" w:sz="8" w:space="0" w:color="152935"/>
              <w:right w:val="nil"/>
            </w:tcBorders>
            <w:shd w:val="clear" w:color="auto" w:fill="auto"/>
          </w:tcPr>
          <w:p w14:paraId="270333C4"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8" w:space="0" w:color="152935"/>
              <w:left w:val="nil"/>
              <w:bottom w:val="single" w:sz="8" w:space="0" w:color="AEAEAE"/>
              <w:right w:val="nil"/>
            </w:tcBorders>
            <w:shd w:val="clear" w:color="auto" w:fill="auto"/>
          </w:tcPr>
          <w:p w14:paraId="40E59D0D"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Disagree/Decreased significantly</w:t>
            </w:r>
          </w:p>
        </w:tc>
        <w:tc>
          <w:tcPr>
            <w:tcW w:w="1162" w:type="dxa"/>
            <w:tcBorders>
              <w:top w:val="single" w:sz="8" w:space="0" w:color="152935"/>
              <w:left w:val="nil"/>
              <w:bottom w:val="single" w:sz="8" w:space="0" w:color="AEAEAE"/>
              <w:right w:val="single" w:sz="8" w:space="0" w:color="E0E0E0"/>
            </w:tcBorders>
            <w:shd w:val="clear" w:color="auto" w:fill="auto"/>
          </w:tcPr>
          <w:p w14:paraId="43C6D410"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26</w:t>
            </w:r>
          </w:p>
        </w:tc>
        <w:tc>
          <w:tcPr>
            <w:tcW w:w="1024" w:type="dxa"/>
            <w:tcBorders>
              <w:top w:val="single" w:sz="8" w:space="0" w:color="152935"/>
              <w:left w:val="single" w:sz="8" w:space="0" w:color="E0E0E0"/>
              <w:bottom w:val="single" w:sz="8" w:space="0" w:color="AEAEAE"/>
              <w:right w:val="single" w:sz="8" w:space="0" w:color="E0E0E0"/>
            </w:tcBorders>
            <w:shd w:val="clear" w:color="auto" w:fill="auto"/>
          </w:tcPr>
          <w:p w14:paraId="3DC24992"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16.7</w:t>
            </w:r>
          </w:p>
        </w:tc>
        <w:tc>
          <w:tcPr>
            <w:tcW w:w="1392" w:type="dxa"/>
            <w:tcBorders>
              <w:top w:val="single" w:sz="8" w:space="0" w:color="152935"/>
              <w:left w:val="single" w:sz="8" w:space="0" w:color="E0E0E0"/>
              <w:bottom w:val="single" w:sz="8" w:space="0" w:color="AEAEAE"/>
              <w:right w:val="single" w:sz="8" w:space="0" w:color="E0E0E0"/>
            </w:tcBorders>
            <w:shd w:val="clear" w:color="auto" w:fill="auto"/>
          </w:tcPr>
          <w:p w14:paraId="618D451F"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16.7</w:t>
            </w:r>
          </w:p>
        </w:tc>
        <w:tc>
          <w:tcPr>
            <w:tcW w:w="1469" w:type="dxa"/>
            <w:tcBorders>
              <w:top w:val="single" w:sz="8" w:space="0" w:color="152935"/>
              <w:left w:val="single" w:sz="8" w:space="0" w:color="E0E0E0"/>
              <w:bottom w:val="single" w:sz="8" w:space="0" w:color="AEAEAE"/>
              <w:right w:val="nil"/>
            </w:tcBorders>
            <w:shd w:val="clear" w:color="auto" w:fill="auto"/>
          </w:tcPr>
          <w:p w14:paraId="03A1A35C"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16.7</w:t>
            </w:r>
          </w:p>
        </w:tc>
      </w:tr>
      <w:tr w:rsidR="00456E3E" w:rsidRPr="00E0677B" w14:paraId="53F3ECDA"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31283131"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6DF3E05E"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Disagree/ Decreased</w:t>
            </w:r>
          </w:p>
        </w:tc>
        <w:tc>
          <w:tcPr>
            <w:tcW w:w="1162" w:type="dxa"/>
            <w:tcBorders>
              <w:top w:val="single" w:sz="8" w:space="0" w:color="AEAEAE"/>
              <w:left w:val="nil"/>
              <w:bottom w:val="single" w:sz="8" w:space="0" w:color="AEAEAE"/>
              <w:right w:val="single" w:sz="8" w:space="0" w:color="E0E0E0"/>
            </w:tcBorders>
            <w:shd w:val="clear" w:color="auto" w:fill="auto"/>
          </w:tcPr>
          <w:p w14:paraId="3FF35F7F"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76A373F5"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10.3</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77A482A0"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10.3</w:t>
            </w:r>
          </w:p>
        </w:tc>
        <w:tc>
          <w:tcPr>
            <w:tcW w:w="1469" w:type="dxa"/>
            <w:tcBorders>
              <w:top w:val="single" w:sz="8" w:space="0" w:color="AEAEAE"/>
              <w:left w:val="single" w:sz="8" w:space="0" w:color="E0E0E0"/>
              <w:bottom w:val="single" w:sz="8" w:space="0" w:color="AEAEAE"/>
              <w:right w:val="nil"/>
            </w:tcBorders>
            <w:shd w:val="clear" w:color="auto" w:fill="auto"/>
          </w:tcPr>
          <w:p w14:paraId="7D34217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26.9</w:t>
            </w:r>
          </w:p>
        </w:tc>
      </w:tr>
      <w:tr w:rsidR="00456E3E" w:rsidRPr="00E0677B" w14:paraId="5FECC547"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4FD24A53"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517A37E7"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Neutral/No change</w:t>
            </w:r>
          </w:p>
        </w:tc>
        <w:tc>
          <w:tcPr>
            <w:tcW w:w="1162" w:type="dxa"/>
            <w:tcBorders>
              <w:top w:val="single" w:sz="8" w:space="0" w:color="AEAEAE"/>
              <w:left w:val="nil"/>
              <w:bottom w:val="single" w:sz="8" w:space="0" w:color="AEAEAE"/>
              <w:right w:val="single" w:sz="8" w:space="0" w:color="E0E0E0"/>
            </w:tcBorders>
            <w:shd w:val="clear" w:color="auto" w:fill="auto"/>
          </w:tcPr>
          <w:p w14:paraId="58BF8C62"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477961EB"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25.6</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16AE57C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25.6</w:t>
            </w:r>
          </w:p>
        </w:tc>
        <w:tc>
          <w:tcPr>
            <w:tcW w:w="1469" w:type="dxa"/>
            <w:tcBorders>
              <w:top w:val="single" w:sz="8" w:space="0" w:color="AEAEAE"/>
              <w:left w:val="single" w:sz="8" w:space="0" w:color="E0E0E0"/>
              <w:bottom w:val="single" w:sz="8" w:space="0" w:color="AEAEAE"/>
              <w:right w:val="nil"/>
            </w:tcBorders>
            <w:shd w:val="clear" w:color="auto" w:fill="auto"/>
          </w:tcPr>
          <w:p w14:paraId="396B2EBC"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52.6</w:t>
            </w:r>
          </w:p>
        </w:tc>
      </w:tr>
      <w:tr w:rsidR="00456E3E" w:rsidRPr="00E0677B" w14:paraId="26A93BCA"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19590C9D"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08459205"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Agree/Yes, somewhat significantly</w:t>
            </w:r>
          </w:p>
        </w:tc>
        <w:tc>
          <w:tcPr>
            <w:tcW w:w="1162" w:type="dxa"/>
            <w:tcBorders>
              <w:top w:val="single" w:sz="8" w:space="0" w:color="AEAEAE"/>
              <w:left w:val="nil"/>
              <w:bottom w:val="single" w:sz="8" w:space="0" w:color="AEAEAE"/>
              <w:right w:val="single" w:sz="8" w:space="0" w:color="E0E0E0"/>
            </w:tcBorders>
            <w:shd w:val="clear" w:color="auto" w:fill="auto"/>
          </w:tcPr>
          <w:p w14:paraId="6FFF7905"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36D29F4A"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19.9</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4935B81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19.9</w:t>
            </w:r>
          </w:p>
        </w:tc>
        <w:tc>
          <w:tcPr>
            <w:tcW w:w="1469" w:type="dxa"/>
            <w:tcBorders>
              <w:top w:val="single" w:sz="8" w:space="0" w:color="AEAEAE"/>
              <w:left w:val="single" w:sz="8" w:space="0" w:color="E0E0E0"/>
              <w:bottom w:val="single" w:sz="8" w:space="0" w:color="AEAEAE"/>
              <w:right w:val="nil"/>
            </w:tcBorders>
            <w:shd w:val="clear" w:color="auto" w:fill="auto"/>
          </w:tcPr>
          <w:p w14:paraId="2CE34A6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72.4</w:t>
            </w:r>
          </w:p>
        </w:tc>
      </w:tr>
      <w:tr w:rsidR="00456E3E" w:rsidRPr="00E0677B" w14:paraId="248C41A9" w14:textId="77777777" w:rsidTr="00E600CF">
        <w:trPr>
          <w:cantSplit/>
          <w:trHeight w:val="660"/>
        </w:trPr>
        <w:tc>
          <w:tcPr>
            <w:tcW w:w="734" w:type="dxa"/>
            <w:vMerge/>
            <w:tcBorders>
              <w:top w:val="single" w:sz="8" w:space="0" w:color="152935"/>
              <w:left w:val="nil"/>
              <w:bottom w:val="single" w:sz="8" w:space="0" w:color="152935"/>
              <w:right w:val="nil"/>
            </w:tcBorders>
            <w:shd w:val="clear" w:color="auto" w:fill="auto"/>
          </w:tcPr>
          <w:p w14:paraId="456771F9"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right w:val="nil"/>
            </w:tcBorders>
            <w:shd w:val="clear" w:color="auto" w:fill="auto"/>
          </w:tcPr>
          <w:p w14:paraId="2C8C4323"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Agree/Yes, significantly</w:t>
            </w:r>
          </w:p>
        </w:tc>
        <w:tc>
          <w:tcPr>
            <w:tcW w:w="1162" w:type="dxa"/>
            <w:tcBorders>
              <w:top w:val="single" w:sz="8" w:space="0" w:color="AEAEAE"/>
              <w:left w:val="nil"/>
              <w:right w:val="single" w:sz="8" w:space="0" w:color="E0E0E0"/>
            </w:tcBorders>
            <w:shd w:val="clear" w:color="auto" w:fill="auto"/>
          </w:tcPr>
          <w:p w14:paraId="1BF85BDA"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42</w:t>
            </w:r>
          </w:p>
        </w:tc>
        <w:tc>
          <w:tcPr>
            <w:tcW w:w="1024" w:type="dxa"/>
            <w:tcBorders>
              <w:top w:val="single" w:sz="8" w:space="0" w:color="AEAEAE"/>
              <w:left w:val="single" w:sz="8" w:space="0" w:color="E0E0E0"/>
              <w:right w:val="single" w:sz="8" w:space="0" w:color="E0E0E0"/>
            </w:tcBorders>
            <w:shd w:val="clear" w:color="auto" w:fill="auto"/>
          </w:tcPr>
          <w:p w14:paraId="21E86E46" w14:textId="51DBBB73"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26.9</w:t>
            </w:r>
          </w:p>
        </w:tc>
        <w:tc>
          <w:tcPr>
            <w:tcW w:w="1392" w:type="dxa"/>
            <w:tcBorders>
              <w:top w:val="single" w:sz="8" w:space="0" w:color="AEAEAE"/>
              <w:left w:val="single" w:sz="8" w:space="0" w:color="E0E0E0"/>
              <w:right w:val="single" w:sz="8" w:space="0" w:color="E0E0E0"/>
            </w:tcBorders>
            <w:shd w:val="clear" w:color="auto" w:fill="auto"/>
          </w:tcPr>
          <w:p w14:paraId="6CDB301F" w14:textId="6B31B7AB"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26.9</w:t>
            </w:r>
          </w:p>
        </w:tc>
        <w:tc>
          <w:tcPr>
            <w:tcW w:w="1469" w:type="dxa"/>
            <w:tcBorders>
              <w:top w:val="single" w:sz="8" w:space="0" w:color="AEAEAE"/>
              <w:left w:val="single" w:sz="8" w:space="0" w:color="E0E0E0"/>
              <w:right w:val="nil"/>
            </w:tcBorders>
            <w:shd w:val="clear" w:color="auto" w:fill="auto"/>
          </w:tcPr>
          <w:p w14:paraId="2FD1F40C" w14:textId="593C20C0"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r>
      <w:tr w:rsidR="00456E3E" w:rsidRPr="00E0677B" w14:paraId="3A62CC03"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683D218B"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152935"/>
              <w:right w:val="nil"/>
            </w:tcBorders>
            <w:shd w:val="clear" w:color="auto" w:fill="auto"/>
          </w:tcPr>
          <w:p w14:paraId="0C3CC976"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Total</w:t>
            </w:r>
          </w:p>
        </w:tc>
        <w:tc>
          <w:tcPr>
            <w:tcW w:w="1162" w:type="dxa"/>
            <w:tcBorders>
              <w:top w:val="single" w:sz="8" w:space="0" w:color="AEAEAE"/>
              <w:left w:val="nil"/>
              <w:bottom w:val="single" w:sz="8" w:space="0" w:color="152935"/>
              <w:right w:val="single" w:sz="8" w:space="0" w:color="E0E0E0"/>
            </w:tcBorders>
            <w:shd w:val="clear" w:color="auto" w:fill="auto"/>
          </w:tcPr>
          <w:p w14:paraId="13095FE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156</w:t>
            </w:r>
          </w:p>
        </w:tc>
        <w:tc>
          <w:tcPr>
            <w:tcW w:w="1024" w:type="dxa"/>
            <w:tcBorders>
              <w:top w:val="single" w:sz="8" w:space="0" w:color="AEAEAE"/>
              <w:left w:val="single" w:sz="8" w:space="0" w:color="E0E0E0"/>
              <w:bottom w:val="single" w:sz="8" w:space="0" w:color="152935"/>
              <w:right w:val="single" w:sz="8" w:space="0" w:color="E0E0E0"/>
            </w:tcBorders>
            <w:shd w:val="clear" w:color="auto" w:fill="auto"/>
          </w:tcPr>
          <w:p w14:paraId="69B1D971"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auto"/>
          </w:tcPr>
          <w:p w14:paraId="66EFB5CA"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469" w:type="dxa"/>
            <w:tcBorders>
              <w:top w:val="single" w:sz="8" w:space="0" w:color="AEAEAE"/>
              <w:left w:val="single" w:sz="8" w:space="0" w:color="E0E0E0"/>
              <w:bottom w:val="single" w:sz="8" w:space="0" w:color="152935"/>
              <w:right w:val="nil"/>
            </w:tcBorders>
            <w:shd w:val="clear" w:color="auto" w:fill="auto"/>
            <w:vAlign w:val="center"/>
          </w:tcPr>
          <w:p w14:paraId="151DFC3F" w14:textId="77777777" w:rsidR="00456E3E" w:rsidRPr="00E0677B" w:rsidRDefault="00456E3E" w:rsidP="007B1BDB">
            <w:pPr>
              <w:autoSpaceDE w:val="0"/>
              <w:autoSpaceDN w:val="0"/>
              <w:adjustRightInd w:val="0"/>
              <w:spacing w:after="0" w:line="360" w:lineRule="auto"/>
              <w:jc w:val="left"/>
              <w:rPr>
                <w:rFonts w:cs="Times New Roman"/>
                <w:szCs w:val="24"/>
              </w:rPr>
            </w:pPr>
          </w:p>
        </w:tc>
      </w:tr>
    </w:tbl>
    <w:p w14:paraId="36F2E258" w14:textId="384CA185" w:rsidR="005A3DEC" w:rsidRDefault="005A3DEC"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Fig-4.22: Contribution to better housing conditions</w:t>
      </w:r>
    </w:p>
    <w:p w14:paraId="27C85E4F" w14:textId="3D746FD4" w:rsidR="00456E3E" w:rsidRDefault="00456E3E" w:rsidP="007B1BDB">
      <w:pPr>
        <w:spacing w:before="100" w:beforeAutospacing="1" w:after="100" w:afterAutospacing="1" w:line="360" w:lineRule="auto"/>
        <w:rPr>
          <w:rFonts w:eastAsia="Times New Roman" w:cs="Times New Roman"/>
          <w:color w:val="auto"/>
          <w:szCs w:val="24"/>
        </w:rPr>
      </w:pPr>
      <w:r w:rsidRPr="00456E3E">
        <w:rPr>
          <w:rFonts w:eastAsia="Times New Roman" w:cs="Times New Roman"/>
          <w:color w:val="auto"/>
          <w:szCs w:val="24"/>
        </w:rPr>
        <w:t xml:space="preserve">The data illustrates how remittances have affected people’s housing conditions. A portion of 16.7% strongly disagrees that remittances have improved their housing conditions, feeling that these funds have significantly worsened their housing quality. Additionally, 10.3% disagree and believe that remittances have somewhat decreased their housing conditions. On the other hand, 25.6% are neutral, indicating that remittances have not made a difference in their housing conditions. Meanwhile, 19.9% agree that remittances have somewhat improved their housing conditions, and 26.9% strongly agree that remittances have significantly improved their housing conditions. </w:t>
      </w:r>
      <w:r w:rsidRPr="00456E3E">
        <w:rPr>
          <w:rFonts w:eastAsia="Times New Roman" w:cs="Times New Roman"/>
          <w:color w:val="auto"/>
          <w:szCs w:val="24"/>
        </w:rPr>
        <w:lastRenderedPageBreak/>
        <w:t>Overall, the majority of people think that remittances have had a positive impact on their housing conditions.</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456E3E" w:rsidRPr="00DC3B5B" w14:paraId="3B8A37E8" w14:textId="77777777" w:rsidTr="00456E3E">
        <w:trPr>
          <w:cantSplit/>
        </w:trPr>
        <w:tc>
          <w:tcPr>
            <w:tcW w:w="8229" w:type="dxa"/>
            <w:gridSpan w:val="6"/>
            <w:tcBorders>
              <w:top w:val="nil"/>
              <w:left w:val="nil"/>
              <w:bottom w:val="nil"/>
              <w:right w:val="nil"/>
            </w:tcBorders>
            <w:shd w:val="clear" w:color="auto" w:fill="auto"/>
            <w:vAlign w:val="center"/>
          </w:tcPr>
          <w:p w14:paraId="223738C9" w14:textId="77777777" w:rsidR="00456E3E" w:rsidRPr="00DC3B5B" w:rsidRDefault="00456E3E" w:rsidP="00326751">
            <w:pPr>
              <w:jc w:val="center"/>
            </w:pPr>
            <w:r w:rsidRPr="00DC3B5B">
              <w:t>Overall, how satisfied are you with the impact of remittance on your household economy?</w:t>
            </w:r>
          </w:p>
        </w:tc>
      </w:tr>
      <w:tr w:rsidR="00456E3E" w:rsidRPr="00E0677B" w14:paraId="1655BA60" w14:textId="77777777" w:rsidTr="00456E3E">
        <w:trPr>
          <w:cantSplit/>
        </w:trPr>
        <w:tc>
          <w:tcPr>
            <w:tcW w:w="3182" w:type="dxa"/>
            <w:gridSpan w:val="2"/>
            <w:tcBorders>
              <w:top w:val="nil"/>
              <w:left w:val="nil"/>
              <w:bottom w:val="single" w:sz="8" w:space="0" w:color="152935"/>
              <w:right w:val="nil"/>
            </w:tcBorders>
            <w:shd w:val="clear" w:color="auto" w:fill="auto"/>
            <w:vAlign w:val="bottom"/>
          </w:tcPr>
          <w:p w14:paraId="408FA4A9" w14:textId="77777777" w:rsidR="00456E3E" w:rsidRPr="00E0677B" w:rsidRDefault="00456E3E" w:rsidP="007B1BDB">
            <w:pPr>
              <w:autoSpaceDE w:val="0"/>
              <w:autoSpaceDN w:val="0"/>
              <w:adjustRightInd w:val="0"/>
              <w:spacing w:after="0" w:line="360" w:lineRule="auto"/>
              <w:jc w:val="left"/>
              <w:rPr>
                <w:rFonts w:cs="Times New Roman"/>
                <w:szCs w:val="24"/>
              </w:rPr>
            </w:pPr>
          </w:p>
        </w:tc>
        <w:tc>
          <w:tcPr>
            <w:tcW w:w="1162" w:type="dxa"/>
            <w:tcBorders>
              <w:top w:val="nil"/>
              <w:left w:val="nil"/>
              <w:bottom w:val="single" w:sz="8" w:space="0" w:color="152935"/>
              <w:right w:val="single" w:sz="8" w:space="0" w:color="E0E0E0"/>
            </w:tcBorders>
            <w:shd w:val="clear" w:color="auto" w:fill="auto"/>
            <w:vAlign w:val="bottom"/>
          </w:tcPr>
          <w:p w14:paraId="61ACB804"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auto"/>
            <w:vAlign w:val="bottom"/>
          </w:tcPr>
          <w:p w14:paraId="3A1C5C60"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auto"/>
            <w:vAlign w:val="bottom"/>
          </w:tcPr>
          <w:p w14:paraId="6D10B06E"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Valid Percent</w:t>
            </w:r>
          </w:p>
        </w:tc>
        <w:tc>
          <w:tcPr>
            <w:tcW w:w="1469" w:type="dxa"/>
            <w:tcBorders>
              <w:top w:val="nil"/>
              <w:left w:val="single" w:sz="8" w:space="0" w:color="E0E0E0"/>
              <w:bottom w:val="single" w:sz="8" w:space="0" w:color="152935"/>
              <w:right w:val="nil"/>
            </w:tcBorders>
            <w:shd w:val="clear" w:color="auto" w:fill="auto"/>
            <w:vAlign w:val="bottom"/>
          </w:tcPr>
          <w:p w14:paraId="344D58D5" w14:textId="77777777" w:rsidR="00456E3E" w:rsidRPr="00E0677B" w:rsidRDefault="00456E3E" w:rsidP="007B1BDB">
            <w:pPr>
              <w:autoSpaceDE w:val="0"/>
              <w:autoSpaceDN w:val="0"/>
              <w:adjustRightInd w:val="0"/>
              <w:spacing w:after="0" w:line="360" w:lineRule="auto"/>
              <w:ind w:left="60" w:right="60"/>
              <w:jc w:val="center"/>
              <w:rPr>
                <w:rFonts w:ascii="Arial" w:hAnsi="Arial" w:cs="Arial"/>
                <w:sz w:val="18"/>
                <w:szCs w:val="18"/>
              </w:rPr>
            </w:pPr>
            <w:r w:rsidRPr="00E0677B">
              <w:rPr>
                <w:rFonts w:ascii="Arial" w:hAnsi="Arial" w:cs="Arial"/>
                <w:sz w:val="18"/>
                <w:szCs w:val="18"/>
              </w:rPr>
              <w:t>Cumulative Percent</w:t>
            </w:r>
          </w:p>
        </w:tc>
      </w:tr>
      <w:tr w:rsidR="00456E3E" w:rsidRPr="00E0677B" w14:paraId="1AAA274B" w14:textId="77777777" w:rsidTr="00456E3E">
        <w:trPr>
          <w:cantSplit/>
        </w:trPr>
        <w:tc>
          <w:tcPr>
            <w:tcW w:w="734" w:type="dxa"/>
            <w:vMerge w:val="restart"/>
            <w:tcBorders>
              <w:top w:val="single" w:sz="8" w:space="0" w:color="152935"/>
              <w:left w:val="nil"/>
              <w:bottom w:val="single" w:sz="8" w:space="0" w:color="152935"/>
              <w:right w:val="nil"/>
            </w:tcBorders>
            <w:shd w:val="clear" w:color="auto" w:fill="auto"/>
          </w:tcPr>
          <w:p w14:paraId="71DBA3ED"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p>
        </w:tc>
        <w:tc>
          <w:tcPr>
            <w:tcW w:w="2448" w:type="dxa"/>
            <w:tcBorders>
              <w:top w:val="single" w:sz="8" w:space="0" w:color="152935"/>
              <w:left w:val="nil"/>
              <w:bottom w:val="single" w:sz="8" w:space="0" w:color="AEAEAE"/>
              <w:right w:val="nil"/>
            </w:tcBorders>
            <w:shd w:val="clear" w:color="auto" w:fill="auto"/>
          </w:tcPr>
          <w:p w14:paraId="122CBE00"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Disagree/Decreased significantly</w:t>
            </w:r>
          </w:p>
        </w:tc>
        <w:tc>
          <w:tcPr>
            <w:tcW w:w="1162" w:type="dxa"/>
            <w:tcBorders>
              <w:top w:val="single" w:sz="8" w:space="0" w:color="152935"/>
              <w:left w:val="nil"/>
              <w:bottom w:val="single" w:sz="8" w:space="0" w:color="AEAEAE"/>
              <w:right w:val="single" w:sz="8" w:space="0" w:color="E0E0E0"/>
            </w:tcBorders>
            <w:shd w:val="clear" w:color="auto" w:fill="auto"/>
          </w:tcPr>
          <w:p w14:paraId="5981C610"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auto"/>
          </w:tcPr>
          <w:p w14:paraId="62983943"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14.1</w:t>
            </w:r>
          </w:p>
        </w:tc>
        <w:tc>
          <w:tcPr>
            <w:tcW w:w="1392" w:type="dxa"/>
            <w:tcBorders>
              <w:top w:val="single" w:sz="8" w:space="0" w:color="152935"/>
              <w:left w:val="single" w:sz="8" w:space="0" w:color="E0E0E0"/>
              <w:bottom w:val="single" w:sz="8" w:space="0" w:color="AEAEAE"/>
              <w:right w:val="single" w:sz="8" w:space="0" w:color="E0E0E0"/>
            </w:tcBorders>
            <w:shd w:val="clear" w:color="auto" w:fill="auto"/>
          </w:tcPr>
          <w:p w14:paraId="04D9BD4C"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14.1</w:t>
            </w:r>
          </w:p>
        </w:tc>
        <w:tc>
          <w:tcPr>
            <w:tcW w:w="1469" w:type="dxa"/>
            <w:tcBorders>
              <w:top w:val="single" w:sz="8" w:space="0" w:color="152935"/>
              <w:left w:val="single" w:sz="8" w:space="0" w:color="E0E0E0"/>
              <w:bottom w:val="single" w:sz="8" w:space="0" w:color="AEAEAE"/>
              <w:right w:val="nil"/>
            </w:tcBorders>
            <w:shd w:val="clear" w:color="auto" w:fill="auto"/>
          </w:tcPr>
          <w:p w14:paraId="303FCD0D"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14.1</w:t>
            </w:r>
          </w:p>
        </w:tc>
      </w:tr>
      <w:tr w:rsidR="00456E3E" w:rsidRPr="00E0677B" w14:paraId="78A82D06"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0CB22B3C"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2A315F1C"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Disagree/ Decreased</w:t>
            </w:r>
          </w:p>
        </w:tc>
        <w:tc>
          <w:tcPr>
            <w:tcW w:w="1162" w:type="dxa"/>
            <w:tcBorders>
              <w:top w:val="single" w:sz="8" w:space="0" w:color="AEAEAE"/>
              <w:left w:val="nil"/>
              <w:bottom w:val="single" w:sz="8" w:space="0" w:color="AEAEAE"/>
              <w:right w:val="single" w:sz="8" w:space="0" w:color="E0E0E0"/>
            </w:tcBorders>
            <w:shd w:val="clear" w:color="auto" w:fill="auto"/>
          </w:tcPr>
          <w:p w14:paraId="431A857F"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6B80282F"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12.2</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2E92851E"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12.2</w:t>
            </w:r>
          </w:p>
        </w:tc>
        <w:tc>
          <w:tcPr>
            <w:tcW w:w="1469" w:type="dxa"/>
            <w:tcBorders>
              <w:top w:val="single" w:sz="8" w:space="0" w:color="AEAEAE"/>
              <w:left w:val="single" w:sz="8" w:space="0" w:color="E0E0E0"/>
              <w:bottom w:val="single" w:sz="8" w:space="0" w:color="AEAEAE"/>
              <w:right w:val="nil"/>
            </w:tcBorders>
            <w:shd w:val="clear" w:color="auto" w:fill="auto"/>
          </w:tcPr>
          <w:p w14:paraId="4609950F"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26.3</w:t>
            </w:r>
          </w:p>
        </w:tc>
      </w:tr>
      <w:tr w:rsidR="00456E3E" w:rsidRPr="00E0677B" w14:paraId="0B497F12"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66D43171"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7579BC66"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Neutral/No change</w:t>
            </w:r>
          </w:p>
        </w:tc>
        <w:tc>
          <w:tcPr>
            <w:tcW w:w="1162" w:type="dxa"/>
            <w:tcBorders>
              <w:top w:val="single" w:sz="8" w:space="0" w:color="AEAEAE"/>
              <w:left w:val="nil"/>
              <w:bottom w:val="single" w:sz="8" w:space="0" w:color="AEAEAE"/>
              <w:right w:val="single" w:sz="8" w:space="0" w:color="E0E0E0"/>
            </w:tcBorders>
            <w:shd w:val="clear" w:color="auto" w:fill="auto"/>
          </w:tcPr>
          <w:p w14:paraId="5A3D9B06"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08712CB2"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12.8</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78CC5146"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12.8</w:t>
            </w:r>
          </w:p>
        </w:tc>
        <w:tc>
          <w:tcPr>
            <w:tcW w:w="1469" w:type="dxa"/>
            <w:tcBorders>
              <w:top w:val="single" w:sz="8" w:space="0" w:color="AEAEAE"/>
              <w:left w:val="single" w:sz="8" w:space="0" w:color="E0E0E0"/>
              <w:bottom w:val="single" w:sz="8" w:space="0" w:color="AEAEAE"/>
              <w:right w:val="nil"/>
            </w:tcBorders>
            <w:shd w:val="clear" w:color="auto" w:fill="auto"/>
          </w:tcPr>
          <w:p w14:paraId="5156D580"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39.1</w:t>
            </w:r>
          </w:p>
        </w:tc>
      </w:tr>
      <w:tr w:rsidR="00456E3E" w:rsidRPr="00E0677B" w14:paraId="10B98E52"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1D9C9AC6"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AEAEAE"/>
              <w:right w:val="nil"/>
            </w:tcBorders>
            <w:shd w:val="clear" w:color="auto" w:fill="auto"/>
          </w:tcPr>
          <w:p w14:paraId="1BEA717A"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Agree/Yes, somewhat</w:t>
            </w:r>
          </w:p>
        </w:tc>
        <w:tc>
          <w:tcPr>
            <w:tcW w:w="1162" w:type="dxa"/>
            <w:tcBorders>
              <w:top w:val="single" w:sz="8" w:space="0" w:color="AEAEAE"/>
              <w:left w:val="nil"/>
              <w:bottom w:val="single" w:sz="8" w:space="0" w:color="AEAEAE"/>
              <w:right w:val="single" w:sz="8" w:space="0" w:color="E0E0E0"/>
            </w:tcBorders>
            <w:shd w:val="clear" w:color="auto" w:fill="auto"/>
          </w:tcPr>
          <w:p w14:paraId="0C101D1B"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auto"/>
          </w:tcPr>
          <w:p w14:paraId="613948BB"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44.9</w:t>
            </w:r>
          </w:p>
        </w:tc>
        <w:tc>
          <w:tcPr>
            <w:tcW w:w="1392" w:type="dxa"/>
            <w:tcBorders>
              <w:top w:val="single" w:sz="8" w:space="0" w:color="AEAEAE"/>
              <w:left w:val="single" w:sz="8" w:space="0" w:color="E0E0E0"/>
              <w:bottom w:val="single" w:sz="8" w:space="0" w:color="AEAEAE"/>
              <w:right w:val="single" w:sz="8" w:space="0" w:color="E0E0E0"/>
            </w:tcBorders>
            <w:shd w:val="clear" w:color="auto" w:fill="auto"/>
          </w:tcPr>
          <w:p w14:paraId="6DA8296A"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44.9</w:t>
            </w:r>
          </w:p>
        </w:tc>
        <w:tc>
          <w:tcPr>
            <w:tcW w:w="1469" w:type="dxa"/>
            <w:tcBorders>
              <w:top w:val="single" w:sz="8" w:space="0" w:color="AEAEAE"/>
              <w:left w:val="single" w:sz="8" w:space="0" w:color="E0E0E0"/>
              <w:bottom w:val="single" w:sz="8" w:space="0" w:color="AEAEAE"/>
              <w:right w:val="nil"/>
            </w:tcBorders>
            <w:shd w:val="clear" w:color="auto" w:fill="auto"/>
          </w:tcPr>
          <w:p w14:paraId="6749AE88"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84.0</w:t>
            </w:r>
          </w:p>
        </w:tc>
      </w:tr>
      <w:tr w:rsidR="00456E3E" w:rsidRPr="00E0677B" w14:paraId="6D5AFEBC" w14:textId="77777777" w:rsidTr="00E600CF">
        <w:trPr>
          <w:cantSplit/>
          <w:trHeight w:val="980"/>
        </w:trPr>
        <w:tc>
          <w:tcPr>
            <w:tcW w:w="734" w:type="dxa"/>
            <w:vMerge/>
            <w:tcBorders>
              <w:top w:val="single" w:sz="8" w:space="0" w:color="152935"/>
              <w:left w:val="nil"/>
              <w:bottom w:val="single" w:sz="8" w:space="0" w:color="152935"/>
              <w:right w:val="nil"/>
            </w:tcBorders>
            <w:shd w:val="clear" w:color="auto" w:fill="auto"/>
          </w:tcPr>
          <w:p w14:paraId="39959D61"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right w:val="nil"/>
            </w:tcBorders>
            <w:shd w:val="clear" w:color="auto" w:fill="auto"/>
          </w:tcPr>
          <w:p w14:paraId="3BC377EB" w14:textId="3C3A93EB"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Strongly Agree/Yes, significantly</w:t>
            </w:r>
          </w:p>
        </w:tc>
        <w:tc>
          <w:tcPr>
            <w:tcW w:w="1162" w:type="dxa"/>
            <w:tcBorders>
              <w:top w:val="single" w:sz="8" w:space="0" w:color="AEAEAE"/>
              <w:left w:val="nil"/>
              <w:right w:val="single" w:sz="8" w:space="0" w:color="E0E0E0"/>
            </w:tcBorders>
            <w:shd w:val="clear" w:color="auto" w:fill="auto"/>
          </w:tcPr>
          <w:p w14:paraId="54DC3881" w14:textId="2F80B3AE"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Pr>
                <w:rFonts w:ascii="Arial" w:hAnsi="Arial" w:cs="Arial"/>
                <w:sz w:val="18"/>
                <w:szCs w:val="18"/>
              </w:rPr>
              <w:t>25</w:t>
            </w:r>
          </w:p>
        </w:tc>
        <w:tc>
          <w:tcPr>
            <w:tcW w:w="1024" w:type="dxa"/>
            <w:tcBorders>
              <w:top w:val="single" w:sz="8" w:space="0" w:color="AEAEAE"/>
              <w:left w:val="single" w:sz="8" w:space="0" w:color="E0E0E0"/>
              <w:right w:val="single" w:sz="8" w:space="0" w:color="E0E0E0"/>
            </w:tcBorders>
            <w:shd w:val="clear" w:color="auto" w:fill="auto"/>
          </w:tcPr>
          <w:p w14:paraId="1F70874E" w14:textId="0DFD416C"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w:t>
            </w:r>
          </w:p>
        </w:tc>
        <w:tc>
          <w:tcPr>
            <w:tcW w:w="1392" w:type="dxa"/>
            <w:tcBorders>
              <w:top w:val="single" w:sz="8" w:space="0" w:color="AEAEAE"/>
              <w:left w:val="single" w:sz="8" w:space="0" w:color="E0E0E0"/>
              <w:right w:val="single" w:sz="8" w:space="0" w:color="E0E0E0"/>
            </w:tcBorders>
            <w:shd w:val="clear" w:color="auto" w:fill="auto"/>
          </w:tcPr>
          <w:p w14:paraId="3B037807" w14:textId="056A3A0B"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16</w:t>
            </w:r>
          </w:p>
        </w:tc>
        <w:tc>
          <w:tcPr>
            <w:tcW w:w="1469" w:type="dxa"/>
            <w:tcBorders>
              <w:top w:val="single" w:sz="8" w:space="0" w:color="AEAEAE"/>
              <w:left w:val="single" w:sz="8" w:space="0" w:color="E0E0E0"/>
              <w:right w:val="nil"/>
            </w:tcBorders>
            <w:shd w:val="clear" w:color="auto" w:fill="auto"/>
          </w:tcPr>
          <w:p w14:paraId="0F208355" w14:textId="70F2B10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r>
      <w:tr w:rsidR="00456E3E" w:rsidRPr="00E0677B" w14:paraId="45259C27" w14:textId="77777777" w:rsidTr="00456E3E">
        <w:trPr>
          <w:cantSplit/>
        </w:trPr>
        <w:tc>
          <w:tcPr>
            <w:tcW w:w="734" w:type="dxa"/>
            <w:vMerge/>
            <w:tcBorders>
              <w:top w:val="single" w:sz="8" w:space="0" w:color="152935"/>
              <w:left w:val="nil"/>
              <w:bottom w:val="single" w:sz="8" w:space="0" w:color="152935"/>
              <w:right w:val="nil"/>
            </w:tcBorders>
            <w:shd w:val="clear" w:color="auto" w:fill="auto"/>
          </w:tcPr>
          <w:p w14:paraId="22C80244" w14:textId="77777777" w:rsidR="00456E3E" w:rsidRPr="00E0677B" w:rsidRDefault="00456E3E" w:rsidP="007B1BDB">
            <w:pPr>
              <w:autoSpaceDE w:val="0"/>
              <w:autoSpaceDN w:val="0"/>
              <w:adjustRightInd w:val="0"/>
              <w:spacing w:after="0" w:line="360" w:lineRule="auto"/>
              <w:jc w:val="left"/>
              <w:rPr>
                <w:rFonts w:ascii="Arial" w:hAnsi="Arial" w:cs="Arial"/>
                <w:sz w:val="18"/>
                <w:szCs w:val="18"/>
              </w:rPr>
            </w:pPr>
          </w:p>
        </w:tc>
        <w:tc>
          <w:tcPr>
            <w:tcW w:w="2448" w:type="dxa"/>
            <w:tcBorders>
              <w:top w:val="single" w:sz="8" w:space="0" w:color="AEAEAE"/>
              <w:left w:val="nil"/>
              <w:bottom w:val="single" w:sz="8" w:space="0" w:color="152935"/>
              <w:right w:val="nil"/>
            </w:tcBorders>
            <w:shd w:val="clear" w:color="auto" w:fill="auto"/>
          </w:tcPr>
          <w:p w14:paraId="6E0B9DBA" w14:textId="77777777" w:rsidR="00456E3E" w:rsidRPr="00E0677B" w:rsidRDefault="00456E3E" w:rsidP="007B1BDB">
            <w:pPr>
              <w:autoSpaceDE w:val="0"/>
              <w:autoSpaceDN w:val="0"/>
              <w:adjustRightInd w:val="0"/>
              <w:spacing w:after="0" w:line="360" w:lineRule="auto"/>
              <w:ind w:left="60" w:right="60"/>
              <w:jc w:val="left"/>
              <w:rPr>
                <w:rFonts w:ascii="Arial" w:hAnsi="Arial" w:cs="Arial"/>
                <w:sz w:val="18"/>
                <w:szCs w:val="18"/>
              </w:rPr>
            </w:pPr>
            <w:r w:rsidRPr="00E0677B">
              <w:rPr>
                <w:rFonts w:ascii="Arial" w:hAnsi="Arial" w:cs="Arial"/>
                <w:sz w:val="18"/>
                <w:szCs w:val="18"/>
              </w:rPr>
              <w:t>Total</w:t>
            </w:r>
          </w:p>
        </w:tc>
        <w:tc>
          <w:tcPr>
            <w:tcW w:w="1162" w:type="dxa"/>
            <w:tcBorders>
              <w:top w:val="single" w:sz="8" w:space="0" w:color="AEAEAE"/>
              <w:left w:val="nil"/>
              <w:bottom w:val="single" w:sz="8" w:space="0" w:color="152935"/>
              <w:right w:val="single" w:sz="8" w:space="0" w:color="E0E0E0"/>
            </w:tcBorders>
            <w:shd w:val="clear" w:color="auto" w:fill="auto"/>
          </w:tcPr>
          <w:p w14:paraId="4EAEDD28"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156</w:t>
            </w:r>
          </w:p>
        </w:tc>
        <w:tc>
          <w:tcPr>
            <w:tcW w:w="1024" w:type="dxa"/>
            <w:tcBorders>
              <w:top w:val="single" w:sz="8" w:space="0" w:color="AEAEAE"/>
              <w:left w:val="single" w:sz="8" w:space="0" w:color="E0E0E0"/>
              <w:bottom w:val="single" w:sz="8" w:space="0" w:color="152935"/>
              <w:right w:val="single" w:sz="8" w:space="0" w:color="E0E0E0"/>
            </w:tcBorders>
            <w:shd w:val="clear" w:color="auto" w:fill="auto"/>
          </w:tcPr>
          <w:p w14:paraId="256739A6"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auto"/>
          </w:tcPr>
          <w:p w14:paraId="041B6149" w14:textId="77777777" w:rsidR="00456E3E" w:rsidRPr="00E0677B" w:rsidRDefault="00456E3E" w:rsidP="007B1BDB">
            <w:pPr>
              <w:autoSpaceDE w:val="0"/>
              <w:autoSpaceDN w:val="0"/>
              <w:adjustRightInd w:val="0"/>
              <w:spacing w:after="0" w:line="360" w:lineRule="auto"/>
              <w:ind w:left="60" w:right="60"/>
              <w:jc w:val="right"/>
              <w:rPr>
                <w:rFonts w:ascii="Arial" w:hAnsi="Arial" w:cs="Arial"/>
                <w:sz w:val="18"/>
                <w:szCs w:val="18"/>
              </w:rPr>
            </w:pPr>
            <w:r w:rsidRPr="00E0677B">
              <w:rPr>
                <w:rFonts w:ascii="Arial" w:hAnsi="Arial" w:cs="Arial"/>
                <w:sz w:val="18"/>
                <w:szCs w:val="18"/>
              </w:rPr>
              <w:t>100.0</w:t>
            </w:r>
          </w:p>
        </w:tc>
        <w:tc>
          <w:tcPr>
            <w:tcW w:w="1469" w:type="dxa"/>
            <w:tcBorders>
              <w:top w:val="single" w:sz="8" w:space="0" w:color="AEAEAE"/>
              <w:left w:val="single" w:sz="8" w:space="0" w:color="E0E0E0"/>
              <w:bottom w:val="single" w:sz="8" w:space="0" w:color="152935"/>
              <w:right w:val="nil"/>
            </w:tcBorders>
            <w:shd w:val="clear" w:color="auto" w:fill="auto"/>
            <w:vAlign w:val="center"/>
          </w:tcPr>
          <w:p w14:paraId="296FE80A" w14:textId="77777777" w:rsidR="00456E3E" w:rsidRPr="00E0677B" w:rsidRDefault="00456E3E" w:rsidP="007B1BDB">
            <w:pPr>
              <w:autoSpaceDE w:val="0"/>
              <w:autoSpaceDN w:val="0"/>
              <w:adjustRightInd w:val="0"/>
              <w:spacing w:after="0" w:line="360" w:lineRule="auto"/>
              <w:jc w:val="left"/>
              <w:rPr>
                <w:rFonts w:cs="Times New Roman"/>
                <w:szCs w:val="24"/>
              </w:rPr>
            </w:pPr>
          </w:p>
        </w:tc>
      </w:tr>
    </w:tbl>
    <w:p w14:paraId="1382F680" w14:textId="77777777" w:rsidR="00456E3E" w:rsidRDefault="00456E3E" w:rsidP="007B1BDB">
      <w:pPr>
        <w:spacing w:before="100" w:beforeAutospacing="1" w:after="100" w:afterAutospacing="1" w:line="360" w:lineRule="auto"/>
        <w:jc w:val="left"/>
        <w:rPr>
          <w:rFonts w:eastAsia="Times New Roman" w:cs="Times New Roman"/>
          <w:color w:val="auto"/>
          <w:szCs w:val="24"/>
        </w:rPr>
      </w:pPr>
    </w:p>
    <w:p w14:paraId="1F035E8E" w14:textId="38EEFE72" w:rsidR="00F50444" w:rsidRDefault="00F50444"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Fig-4.23: </w:t>
      </w:r>
      <w:r>
        <w:t>I</w:t>
      </w:r>
      <w:r w:rsidRPr="00DC3B5B">
        <w:t>mpact of remittance on</w:t>
      </w:r>
      <w:r>
        <w:t xml:space="preserve"> </w:t>
      </w:r>
      <w:r w:rsidRPr="00DC3B5B">
        <w:t>household economy</w:t>
      </w:r>
    </w:p>
    <w:p w14:paraId="4017BAA6" w14:textId="508BD1FB" w:rsidR="00456E3E" w:rsidRPr="00456E3E" w:rsidRDefault="00456E3E" w:rsidP="007B1BDB">
      <w:pPr>
        <w:spacing w:before="100" w:beforeAutospacing="1" w:after="100" w:afterAutospacing="1" w:line="360" w:lineRule="auto"/>
        <w:rPr>
          <w:rFonts w:eastAsia="Times New Roman" w:cs="Times New Roman"/>
          <w:color w:val="auto"/>
          <w:szCs w:val="24"/>
        </w:rPr>
      </w:pPr>
      <w:r w:rsidRPr="00456E3E">
        <w:rPr>
          <w:rFonts w:eastAsia="Times New Roman" w:cs="Times New Roman"/>
          <w:color w:val="auto"/>
          <w:szCs w:val="24"/>
        </w:rPr>
        <w:t>The data reveals people’s overall satisfaction with how remittances have affected their household economy. A small group, 14.1%, strongly disagrees that remittances have had a positive impact, feeling that these funds have significantly worsened their household economy. Another 12.2% disagree and believe that remittances have somewhat decreased their household economy. Additionally, 12.8% are neutral, stating that remittances have made no difference to their household economy. However, a majority, 44.9%, agree that remittances have somewhat improved their household economy, and 16.0% strongly agree that remittances have significantly improved their household economy. Overall, the majority of people are satisfied with the positive effects of remittances on their household economy.</w:t>
      </w:r>
    </w:p>
    <w:tbl>
      <w:tblPr>
        <w:tblW w:w="8107" w:type="dxa"/>
        <w:tblLayout w:type="fixed"/>
        <w:tblCellMar>
          <w:left w:w="0" w:type="dxa"/>
          <w:right w:w="0" w:type="dxa"/>
        </w:tblCellMar>
        <w:tblLook w:val="0000" w:firstRow="0" w:lastRow="0" w:firstColumn="0" w:lastColumn="0" w:noHBand="0" w:noVBand="0"/>
      </w:tblPr>
      <w:tblGrid>
        <w:gridCol w:w="3420"/>
        <w:gridCol w:w="540"/>
        <w:gridCol w:w="990"/>
        <w:gridCol w:w="1080"/>
        <w:gridCol w:w="810"/>
        <w:gridCol w:w="1267"/>
      </w:tblGrid>
      <w:tr w:rsidR="00456E3E" w:rsidRPr="00DC3B5B" w14:paraId="3CAA94C8" w14:textId="77777777" w:rsidTr="00DC3B5B">
        <w:trPr>
          <w:cantSplit/>
        </w:trPr>
        <w:tc>
          <w:tcPr>
            <w:tcW w:w="8107" w:type="dxa"/>
            <w:gridSpan w:val="6"/>
            <w:tcBorders>
              <w:bottom w:val="single" w:sz="4" w:space="0" w:color="auto"/>
            </w:tcBorders>
            <w:shd w:val="clear" w:color="auto" w:fill="auto"/>
            <w:vAlign w:val="center"/>
          </w:tcPr>
          <w:p w14:paraId="30761258" w14:textId="77777777" w:rsidR="00456E3E" w:rsidRPr="00B0171D" w:rsidRDefault="00456E3E" w:rsidP="00B0171D">
            <w:pPr>
              <w:rPr>
                <w:b/>
                <w:bCs/>
              </w:rPr>
            </w:pPr>
            <w:r w:rsidRPr="00B0171D">
              <w:rPr>
                <w:b/>
                <w:bCs/>
              </w:rPr>
              <w:t>Descriptive Statistics</w:t>
            </w:r>
          </w:p>
        </w:tc>
      </w:tr>
      <w:tr w:rsidR="00456E3E" w:rsidRPr="00DC3B5B" w14:paraId="3FA578E8" w14:textId="77777777" w:rsidTr="00DC3B5B">
        <w:trPr>
          <w:cantSplit/>
        </w:trPr>
        <w:tc>
          <w:tcPr>
            <w:tcW w:w="3420" w:type="dxa"/>
            <w:tcBorders>
              <w:top w:val="single" w:sz="4" w:space="0" w:color="auto"/>
              <w:bottom w:val="single" w:sz="4" w:space="0" w:color="auto"/>
            </w:tcBorders>
            <w:shd w:val="clear" w:color="auto" w:fill="auto"/>
            <w:vAlign w:val="bottom"/>
          </w:tcPr>
          <w:p w14:paraId="771A9C30" w14:textId="77777777" w:rsidR="00456E3E" w:rsidRPr="00DC3B5B" w:rsidRDefault="00456E3E" w:rsidP="007B1BDB">
            <w:pPr>
              <w:autoSpaceDE w:val="0"/>
              <w:autoSpaceDN w:val="0"/>
              <w:adjustRightInd w:val="0"/>
              <w:spacing w:after="0" w:line="360" w:lineRule="auto"/>
              <w:jc w:val="left"/>
              <w:rPr>
                <w:rFonts w:cs="Times New Roman"/>
                <w:szCs w:val="24"/>
              </w:rPr>
            </w:pPr>
          </w:p>
        </w:tc>
        <w:tc>
          <w:tcPr>
            <w:tcW w:w="540" w:type="dxa"/>
            <w:tcBorders>
              <w:top w:val="single" w:sz="4" w:space="0" w:color="auto"/>
              <w:bottom w:val="single" w:sz="4" w:space="0" w:color="auto"/>
            </w:tcBorders>
            <w:shd w:val="clear" w:color="auto" w:fill="auto"/>
            <w:vAlign w:val="bottom"/>
          </w:tcPr>
          <w:p w14:paraId="52E6CDFB" w14:textId="77777777" w:rsidR="00456E3E" w:rsidRPr="00DC3B5B" w:rsidRDefault="00456E3E" w:rsidP="007B1BDB">
            <w:pPr>
              <w:autoSpaceDE w:val="0"/>
              <w:autoSpaceDN w:val="0"/>
              <w:adjustRightInd w:val="0"/>
              <w:spacing w:after="0" w:line="360" w:lineRule="auto"/>
              <w:ind w:right="60"/>
              <w:jc w:val="right"/>
              <w:rPr>
                <w:rFonts w:cs="Times New Roman"/>
                <w:szCs w:val="24"/>
              </w:rPr>
            </w:pPr>
            <w:r w:rsidRPr="00DC3B5B">
              <w:rPr>
                <w:rFonts w:cs="Times New Roman"/>
                <w:szCs w:val="24"/>
              </w:rPr>
              <w:t>N</w:t>
            </w:r>
          </w:p>
        </w:tc>
        <w:tc>
          <w:tcPr>
            <w:tcW w:w="990" w:type="dxa"/>
            <w:tcBorders>
              <w:top w:val="single" w:sz="4" w:space="0" w:color="auto"/>
              <w:bottom w:val="single" w:sz="4" w:space="0" w:color="auto"/>
            </w:tcBorders>
            <w:shd w:val="clear" w:color="auto" w:fill="auto"/>
            <w:vAlign w:val="bottom"/>
          </w:tcPr>
          <w:p w14:paraId="7B78E96D" w14:textId="77777777" w:rsidR="00456E3E" w:rsidRPr="00DC3B5B" w:rsidRDefault="00456E3E" w:rsidP="007B1BDB">
            <w:pPr>
              <w:autoSpaceDE w:val="0"/>
              <w:autoSpaceDN w:val="0"/>
              <w:adjustRightInd w:val="0"/>
              <w:spacing w:after="0" w:line="360" w:lineRule="auto"/>
              <w:ind w:left="60" w:right="60"/>
              <w:jc w:val="center"/>
              <w:rPr>
                <w:rFonts w:cs="Times New Roman"/>
                <w:szCs w:val="24"/>
              </w:rPr>
            </w:pPr>
            <w:r w:rsidRPr="00DC3B5B">
              <w:rPr>
                <w:rFonts w:cs="Times New Roman"/>
                <w:szCs w:val="24"/>
              </w:rPr>
              <w:t>Minimum</w:t>
            </w:r>
          </w:p>
        </w:tc>
        <w:tc>
          <w:tcPr>
            <w:tcW w:w="1080" w:type="dxa"/>
            <w:tcBorders>
              <w:top w:val="single" w:sz="4" w:space="0" w:color="auto"/>
              <w:bottom w:val="single" w:sz="4" w:space="0" w:color="auto"/>
            </w:tcBorders>
            <w:shd w:val="clear" w:color="auto" w:fill="auto"/>
            <w:vAlign w:val="bottom"/>
          </w:tcPr>
          <w:p w14:paraId="689FF33B" w14:textId="77777777" w:rsidR="00456E3E" w:rsidRPr="00DC3B5B" w:rsidRDefault="00456E3E" w:rsidP="007B1BDB">
            <w:pPr>
              <w:autoSpaceDE w:val="0"/>
              <w:autoSpaceDN w:val="0"/>
              <w:adjustRightInd w:val="0"/>
              <w:spacing w:after="0" w:line="360" w:lineRule="auto"/>
              <w:ind w:left="60" w:right="60"/>
              <w:jc w:val="center"/>
              <w:rPr>
                <w:rFonts w:cs="Times New Roman"/>
                <w:szCs w:val="24"/>
              </w:rPr>
            </w:pPr>
            <w:r w:rsidRPr="00DC3B5B">
              <w:rPr>
                <w:rFonts w:cs="Times New Roman"/>
                <w:szCs w:val="24"/>
              </w:rPr>
              <w:t>Maximum</w:t>
            </w:r>
          </w:p>
        </w:tc>
        <w:tc>
          <w:tcPr>
            <w:tcW w:w="810" w:type="dxa"/>
            <w:tcBorders>
              <w:top w:val="single" w:sz="4" w:space="0" w:color="auto"/>
              <w:bottom w:val="single" w:sz="4" w:space="0" w:color="auto"/>
            </w:tcBorders>
            <w:shd w:val="clear" w:color="auto" w:fill="auto"/>
            <w:vAlign w:val="bottom"/>
          </w:tcPr>
          <w:p w14:paraId="5B43095B" w14:textId="77777777" w:rsidR="00456E3E" w:rsidRPr="00DC3B5B" w:rsidRDefault="00456E3E" w:rsidP="007B1BDB">
            <w:pPr>
              <w:autoSpaceDE w:val="0"/>
              <w:autoSpaceDN w:val="0"/>
              <w:adjustRightInd w:val="0"/>
              <w:spacing w:after="0" w:line="360" w:lineRule="auto"/>
              <w:ind w:left="60" w:right="60"/>
              <w:jc w:val="center"/>
              <w:rPr>
                <w:rFonts w:cs="Times New Roman"/>
                <w:szCs w:val="24"/>
              </w:rPr>
            </w:pPr>
            <w:r w:rsidRPr="00DC3B5B">
              <w:rPr>
                <w:rFonts w:cs="Times New Roman"/>
                <w:szCs w:val="24"/>
              </w:rPr>
              <w:t>Mean</w:t>
            </w:r>
          </w:p>
        </w:tc>
        <w:tc>
          <w:tcPr>
            <w:tcW w:w="1267" w:type="dxa"/>
            <w:tcBorders>
              <w:top w:val="single" w:sz="4" w:space="0" w:color="auto"/>
              <w:bottom w:val="single" w:sz="4" w:space="0" w:color="auto"/>
            </w:tcBorders>
            <w:shd w:val="clear" w:color="auto" w:fill="auto"/>
            <w:vAlign w:val="bottom"/>
          </w:tcPr>
          <w:p w14:paraId="35CAC99E" w14:textId="77777777" w:rsidR="00456E3E" w:rsidRPr="00DC3B5B" w:rsidRDefault="00456E3E" w:rsidP="007B1BDB">
            <w:pPr>
              <w:autoSpaceDE w:val="0"/>
              <w:autoSpaceDN w:val="0"/>
              <w:adjustRightInd w:val="0"/>
              <w:spacing w:after="0" w:line="360" w:lineRule="auto"/>
              <w:ind w:left="60" w:right="60"/>
              <w:jc w:val="center"/>
              <w:rPr>
                <w:rFonts w:cs="Times New Roman"/>
                <w:szCs w:val="24"/>
              </w:rPr>
            </w:pPr>
            <w:r w:rsidRPr="00DC3B5B">
              <w:rPr>
                <w:rFonts w:cs="Times New Roman"/>
                <w:szCs w:val="24"/>
              </w:rPr>
              <w:t>Std. Deviation</w:t>
            </w:r>
          </w:p>
        </w:tc>
      </w:tr>
      <w:tr w:rsidR="00456E3E" w:rsidRPr="00DC3B5B" w14:paraId="667F3B3F" w14:textId="77777777" w:rsidTr="00DC3B5B">
        <w:trPr>
          <w:cantSplit/>
        </w:trPr>
        <w:tc>
          <w:tcPr>
            <w:tcW w:w="3420" w:type="dxa"/>
            <w:tcBorders>
              <w:top w:val="single" w:sz="4" w:space="0" w:color="auto"/>
            </w:tcBorders>
            <w:shd w:val="clear" w:color="auto" w:fill="auto"/>
          </w:tcPr>
          <w:p w14:paraId="4A1C3333"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lastRenderedPageBreak/>
              <w:t>How often do you receive remittance?</w:t>
            </w:r>
          </w:p>
        </w:tc>
        <w:tc>
          <w:tcPr>
            <w:tcW w:w="540" w:type="dxa"/>
            <w:tcBorders>
              <w:top w:val="single" w:sz="4" w:space="0" w:color="auto"/>
            </w:tcBorders>
            <w:shd w:val="clear" w:color="auto" w:fill="auto"/>
          </w:tcPr>
          <w:p w14:paraId="36E4F9FA"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tcBorders>
              <w:top w:val="single" w:sz="4" w:space="0" w:color="auto"/>
            </w:tcBorders>
            <w:shd w:val="clear" w:color="auto" w:fill="auto"/>
          </w:tcPr>
          <w:p w14:paraId="0956CC7B"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tcBorders>
              <w:top w:val="single" w:sz="4" w:space="0" w:color="auto"/>
            </w:tcBorders>
            <w:shd w:val="clear" w:color="auto" w:fill="auto"/>
          </w:tcPr>
          <w:p w14:paraId="61EF4A4C"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5</w:t>
            </w:r>
          </w:p>
        </w:tc>
        <w:tc>
          <w:tcPr>
            <w:tcW w:w="810" w:type="dxa"/>
            <w:tcBorders>
              <w:top w:val="single" w:sz="4" w:space="0" w:color="auto"/>
            </w:tcBorders>
            <w:shd w:val="clear" w:color="auto" w:fill="auto"/>
          </w:tcPr>
          <w:p w14:paraId="3402279E"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3.88</w:t>
            </w:r>
          </w:p>
        </w:tc>
        <w:tc>
          <w:tcPr>
            <w:tcW w:w="1267" w:type="dxa"/>
            <w:tcBorders>
              <w:top w:val="single" w:sz="4" w:space="0" w:color="auto"/>
            </w:tcBorders>
            <w:shd w:val="clear" w:color="auto" w:fill="auto"/>
          </w:tcPr>
          <w:p w14:paraId="51B6A25A"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1.204</w:t>
            </w:r>
          </w:p>
        </w:tc>
      </w:tr>
      <w:tr w:rsidR="00456E3E" w:rsidRPr="00DC3B5B" w14:paraId="0227DB6F" w14:textId="77777777" w:rsidTr="00DC3B5B">
        <w:trPr>
          <w:cantSplit/>
        </w:trPr>
        <w:tc>
          <w:tcPr>
            <w:tcW w:w="3420" w:type="dxa"/>
            <w:shd w:val="clear" w:color="auto" w:fill="auto"/>
          </w:tcPr>
          <w:p w14:paraId="3A10D6F3"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What is the average amount of remittance received per year?</w:t>
            </w:r>
          </w:p>
        </w:tc>
        <w:tc>
          <w:tcPr>
            <w:tcW w:w="540" w:type="dxa"/>
            <w:shd w:val="clear" w:color="auto" w:fill="auto"/>
          </w:tcPr>
          <w:p w14:paraId="3312F3CE"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79200345"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5C2A5B4F"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5</w:t>
            </w:r>
          </w:p>
        </w:tc>
        <w:tc>
          <w:tcPr>
            <w:tcW w:w="810" w:type="dxa"/>
            <w:shd w:val="clear" w:color="auto" w:fill="auto"/>
          </w:tcPr>
          <w:p w14:paraId="5FFDDF9B"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3.78</w:t>
            </w:r>
          </w:p>
        </w:tc>
        <w:tc>
          <w:tcPr>
            <w:tcW w:w="1267" w:type="dxa"/>
            <w:shd w:val="clear" w:color="auto" w:fill="auto"/>
          </w:tcPr>
          <w:p w14:paraId="29782B74"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1.504</w:t>
            </w:r>
          </w:p>
        </w:tc>
      </w:tr>
      <w:tr w:rsidR="00456E3E" w:rsidRPr="00DC3B5B" w14:paraId="398BCCB0" w14:textId="77777777" w:rsidTr="00DC3B5B">
        <w:trPr>
          <w:cantSplit/>
        </w:trPr>
        <w:tc>
          <w:tcPr>
            <w:tcW w:w="3420" w:type="dxa"/>
            <w:shd w:val="clear" w:color="auto" w:fill="auto"/>
          </w:tcPr>
          <w:p w14:paraId="4E19E014"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How much of the remittance is spent on basic needs (food, clothing, shelter)?</w:t>
            </w:r>
          </w:p>
        </w:tc>
        <w:tc>
          <w:tcPr>
            <w:tcW w:w="540" w:type="dxa"/>
            <w:shd w:val="clear" w:color="auto" w:fill="auto"/>
          </w:tcPr>
          <w:p w14:paraId="51B6464B"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58B392B9"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7C109720"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4</w:t>
            </w:r>
          </w:p>
        </w:tc>
        <w:tc>
          <w:tcPr>
            <w:tcW w:w="810" w:type="dxa"/>
            <w:shd w:val="clear" w:color="auto" w:fill="auto"/>
          </w:tcPr>
          <w:p w14:paraId="23829140"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2.31</w:t>
            </w:r>
          </w:p>
        </w:tc>
        <w:tc>
          <w:tcPr>
            <w:tcW w:w="1267" w:type="dxa"/>
            <w:shd w:val="clear" w:color="auto" w:fill="auto"/>
          </w:tcPr>
          <w:p w14:paraId="630B0A02"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.982</w:t>
            </w:r>
          </w:p>
        </w:tc>
      </w:tr>
      <w:tr w:rsidR="00456E3E" w:rsidRPr="00DC3B5B" w14:paraId="33B75B01" w14:textId="77777777" w:rsidTr="00DC3B5B">
        <w:trPr>
          <w:cantSplit/>
        </w:trPr>
        <w:tc>
          <w:tcPr>
            <w:tcW w:w="3420" w:type="dxa"/>
            <w:shd w:val="clear" w:color="auto" w:fill="auto"/>
          </w:tcPr>
          <w:p w14:paraId="43384D3C"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How much of the remittance is spent on education?</w:t>
            </w:r>
          </w:p>
        </w:tc>
        <w:tc>
          <w:tcPr>
            <w:tcW w:w="540" w:type="dxa"/>
            <w:shd w:val="clear" w:color="auto" w:fill="auto"/>
          </w:tcPr>
          <w:p w14:paraId="61F7D3B5"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7B81A995"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3853A95F"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4</w:t>
            </w:r>
          </w:p>
        </w:tc>
        <w:tc>
          <w:tcPr>
            <w:tcW w:w="810" w:type="dxa"/>
            <w:shd w:val="clear" w:color="auto" w:fill="auto"/>
          </w:tcPr>
          <w:p w14:paraId="7C957F3E"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2.23</w:t>
            </w:r>
          </w:p>
        </w:tc>
        <w:tc>
          <w:tcPr>
            <w:tcW w:w="1267" w:type="dxa"/>
            <w:shd w:val="clear" w:color="auto" w:fill="auto"/>
          </w:tcPr>
          <w:p w14:paraId="0E3F76A5"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1.002</w:t>
            </w:r>
          </w:p>
        </w:tc>
      </w:tr>
      <w:tr w:rsidR="00456E3E" w:rsidRPr="00DC3B5B" w14:paraId="7D7BE22F" w14:textId="77777777" w:rsidTr="00DC3B5B">
        <w:trPr>
          <w:cantSplit/>
        </w:trPr>
        <w:tc>
          <w:tcPr>
            <w:tcW w:w="3420" w:type="dxa"/>
            <w:shd w:val="clear" w:color="auto" w:fill="auto"/>
          </w:tcPr>
          <w:p w14:paraId="1C2AFEA5"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How much of the remittance is spent on healthcare?</w:t>
            </w:r>
          </w:p>
        </w:tc>
        <w:tc>
          <w:tcPr>
            <w:tcW w:w="540" w:type="dxa"/>
            <w:shd w:val="clear" w:color="auto" w:fill="auto"/>
          </w:tcPr>
          <w:p w14:paraId="3877CC25"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66DF76DD"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25DFEACE"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4</w:t>
            </w:r>
          </w:p>
        </w:tc>
        <w:tc>
          <w:tcPr>
            <w:tcW w:w="810" w:type="dxa"/>
            <w:shd w:val="clear" w:color="auto" w:fill="auto"/>
          </w:tcPr>
          <w:p w14:paraId="1A3FB79B"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2.13</w:t>
            </w:r>
          </w:p>
        </w:tc>
        <w:tc>
          <w:tcPr>
            <w:tcW w:w="1267" w:type="dxa"/>
            <w:shd w:val="clear" w:color="auto" w:fill="auto"/>
          </w:tcPr>
          <w:p w14:paraId="197375D3"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1.064</w:t>
            </w:r>
          </w:p>
        </w:tc>
      </w:tr>
      <w:tr w:rsidR="00456E3E" w:rsidRPr="00DC3B5B" w14:paraId="6C74B690" w14:textId="77777777" w:rsidTr="00DC3B5B">
        <w:trPr>
          <w:cantSplit/>
        </w:trPr>
        <w:tc>
          <w:tcPr>
            <w:tcW w:w="3420" w:type="dxa"/>
            <w:shd w:val="clear" w:color="auto" w:fill="auto"/>
          </w:tcPr>
          <w:p w14:paraId="14A130AB"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How much of the remittance is saved?</w:t>
            </w:r>
          </w:p>
        </w:tc>
        <w:tc>
          <w:tcPr>
            <w:tcW w:w="540" w:type="dxa"/>
            <w:shd w:val="clear" w:color="auto" w:fill="auto"/>
          </w:tcPr>
          <w:p w14:paraId="06D4D2E3"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2DAAFBDF"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138D76B3"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4</w:t>
            </w:r>
          </w:p>
        </w:tc>
        <w:tc>
          <w:tcPr>
            <w:tcW w:w="810" w:type="dxa"/>
            <w:shd w:val="clear" w:color="auto" w:fill="auto"/>
          </w:tcPr>
          <w:p w14:paraId="350F7EF4"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2.10</w:t>
            </w:r>
          </w:p>
        </w:tc>
        <w:tc>
          <w:tcPr>
            <w:tcW w:w="1267" w:type="dxa"/>
            <w:shd w:val="clear" w:color="auto" w:fill="auto"/>
          </w:tcPr>
          <w:p w14:paraId="2E862CE2"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1.088</w:t>
            </w:r>
          </w:p>
        </w:tc>
      </w:tr>
      <w:tr w:rsidR="00456E3E" w:rsidRPr="00DC3B5B" w14:paraId="60153664" w14:textId="77777777" w:rsidTr="00DC3B5B">
        <w:trPr>
          <w:cantSplit/>
        </w:trPr>
        <w:tc>
          <w:tcPr>
            <w:tcW w:w="3420" w:type="dxa"/>
            <w:shd w:val="clear" w:color="auto" w:fill="auto"/>
          </w:tcPr>
          <w:p w14:paraId="548C91B2"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How much of the remittance is invested?</w:t>
            </w:r>
          </w:p>
        </w:tc>
        <w:tc>
          <w:tcPr>
            <w:tcW w:w="540" w:type="dxa"/>
            <w:shd w:val="clear" w:color="auto" w:fill="auto"/>
          </w:tcPr>
          <w:p w14:paraId="2FBE3C59"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301DDE47"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04E50943"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4</w:t>
            </w:r>
          </w:p>
        </w:tc>
        <w:tc>
          <w:tcPr>
            <w:tcW w:w="810" w:type="dxa"/>
            <w:shd w:val="clear" w:color="auto" w:fill="auto"/>
          </w:tcPr>
          <w:p w14:paraId="61A0FD0B"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1.88</w:t>
            </w:r>
          </w:p>
        </w:tc>
        <w:tc>
          <w:tcPr>
            <w:tcW w:w="1267" w:type="dxa"/>
            <w:shd w:val="clear" w:color="auto" w:fill="auto"/>
          </w:tcPr>
          <w:p w14:paraId="7818878D"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1.126</w:t>
            </w:r>
          </w:p>
        </w:tc>
      </w:tr>
      <w:tr w:rsidR="00456E3E" w:rsidRPr="00DC3B5B" w14:paraId="72539C52" w14:textId="77777777" w:rsidTr="00DC3B5B">
        <w:trPr>
          <w:cantSplit/>
        </w:trPr>
        <w:tc>
          <w:tcPr>
            <w:tcW w:w="3420" w:type="dxa"/>
            <w:shd w:val="clear" w:color="auto" w:fill="auto"/>
          </w:tcPr>
          <w:p w14:paraId="28D47212"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How much of the remittance is used for debt repayment?</w:t>
            </w:r>
          </w:p>
        </w:tc>
        <w:tc>
          <w:tcPr>
            <w:tcW w:w="540" w:type="dxa"/>
            <w:shd w:val="clear" w:color="auto" w:fill="auto"/>
          </w:tcPr>
          <w:p w14:paraId="7928EAE9"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31C8ECB3"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042D52D7"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4</w:t>
            </w:r>
          </w:p>
        </w:tc>
        <w:tc>
          <w:tcPr>
            <w:tcW w:w="810" w:type="dxa"/>
            <w:shd w:val="clear" w:color="auto" w:fill="auto"/>
          </w:tcPr>
          <w:p w14:paraId="59CFC457"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2.29</w:t>
            </w:r>
          </w:p>
        </w:tc>
        <w:tc>
          <w:tcPr>
            <w:tcW w:w="1267" w:type="dxa"/>
            <w:shd w:val="clear" w:color="auto" w:fill="auto"/>
          </w:tcPr>
          <w:p w14:paraId="12AC2D54"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1.108</w:t>
            </w:r>
          </w:p>
        </w:tc>
      </w:tr>
      <w:tr w:rsidR="00456E3E" w:rsidRPr="00DC3B5B" w14:paraId="6A816B28" w14:textId="77777777" w:rsidTr="00DC3B5B">
        <w:trPr>
          <w:cantSplit/>
        </w:trPr>
        <w:tc>
          <w:tcPr>
            <w:tcW w:w="3420" w:type="dxa"/>
            <w:shd w:val="clear" w:color="auto" w:fill="auto"/>
          </w:tcPr>
          <w:p w14:paraId="0CA0E775"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How much of the remittance is used for social and cultural expenditures (weddings, festivals)?</w:t>
            </w:r>
          </w:p>
        </w:tc>
        <w:tc>
          <w:tcPr>
            <w:tcW w:w="540" w:type="dxa"/>
            <w:shd w:val="clear" w:color="auto" w:fill="auto"/>
          </w:tcPr>
          <w:p w14:paraId="13DC3C1D"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02FAD864"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6C4C1C1D"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4</w:t>
            </w:r>
          </w:p>
        </w:tc>
        <w:tc>
          <w:tcPr>
            <w:tcW w:w="810" w:type="dxa"/>
            <w:shd w:val="clear" w:color="auto" w:fill="auto"/>
          </w:tcPr>
          <w:p w14:paraId="3EDF6FAF"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2.06</w:t>
            </w:r>
          </w:p>
        </w:tc>
        <w:tc>
          <w:tcPr>
            <w:tcW w:w="1267" w:type="dxa"/>
            <w:shd w:val="clear" w:color="auto" w:fill="auto"/>
          </w:tcPr>
          <w:p w14:paraId="1CCC73C1"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.899</w:t>
            </w:r>
          </w:p>
        </w:tc>
      </w:tr>
      <w:tr w:rsidR="00456E3E" w:rsidRPr="00DC3B5B" w14:paraId="453FDD1D" w14:textId="77777777" w:rsidTr="00DC3B5B">
        <w:trPr>
          <w:cantSplit/>
        </w:trPr>
        <w:tc>
          <w:tcPr>
            <w:tcW w:w="3420" w:type="dxa"/>
            <w:shd w:val="clear" w:color="auto" w:fill="auto"/>
          </w:tcPr>
          <w:p w14:paraId="01F8D8A4"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How much has your expenditure on health, education, and food increased before and after receiving remittance?</w:t>
            </w:r>
          </w:p>
        </w:tc>
        <w:tc>
          <w:tcPr>
            <w:tcW w:w="540" w:type="dxa"/>
            <w:shd w:val="clear" w:color="auto" w:fill="auto"/>
          </w:tcPr>
          <w:p w14:paraId="429BCFC3"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6E7E50EB"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7EF3397C"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4</w:t>
            </w:r>
          </w:p>
        </w:tc>
        <w:tc>
          <w:tcPr>
            <w:tcW w:w="810" w:type="dxa"/>
            <w:shd w:val="clear" w:color="auto" w:fill="auto"/>
          </w:tcPr>
          <w:p w14:paraId="53F13C76"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2.79</w:t>
            </w:r>
          </w:p>
        </w:tc>
        <w:tc>
          <w:tcPr>
            <w:tcW w:w="1267" w:type="dxa"/>
            <w:shd w:val="clear" w:color="auto" w:fill="auto"/>
          </w:tcPr>
          <w:p w14:paraId="68A962CA"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.988</w:t>
            </w:r>
          </w:p>
        </w:tc>
      </w:tr>
      <w:tr w:rsidR="00456E3E" w:rsidRPr="00DC3B5B" w14:paraId="3EB45808" w14:textId="77777777" w:rsidTr="00DC3B5B">
        <w:trPr>
          <w:cantSplit/>
        </w:trPr>
        <w:tc>
          <w:tcPr>
            <w:tcW w:w="3420" w:type="dxa"/>
            <w:shd w:val="clear" w:color="auto" w:fill="auto"/>
          </w:tcPr>
          <w:p w14:paraId="3E12736F"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Has the remittance improved your living standards?</w:t>
            </w:r>
          </w:p>
        </w:tc>
        <w:tc>
          <w:tcPr>
            <w:tcW w:w="540" w:type="dxa"/>
            <w:shd w:val="clear" w:color="auto" w:fill="auto"/>
          </w:tcPr>
          <w:p w14:paraId="64E33141"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7AE572D6"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4F736EFB"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5</w:t>
            </w:r>
          </w:p>
        </w:tc>
        <w:tc>
          <w:tcPr>
            <w:tcW w:w="810" w:type="dxa"/>
            <w:shd w:val="clear" w:color="auto" w:fill="auto"/>
          </w:tcPr>
          <w:p w14:paraId="1A757B1D"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3.29</w:t>
            </w:r>
          </w:p>
        </w:tc>
        <w:tc>
          <w:tcPr>
            <w:tcW w:w="1267" w:type="dxa"/>
            <w:shd w:val="clear" w:color="auto" w:fill="auto"/>
          </w:tcPr>
          <w:p w14:paraId="2800B88A"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1.468</w:t>
            </w:r>
          </w:p>
        </w:tc>
      </w:tr>
      <w:tr w:rsidR="00456E3E" w:rsidRPr="00DC3B5B" w14:paraId="715C49FB" w14:textId="77777777" w:rsidTr="00DC3B5B">
        <w:trPr>
          <w:cantSplit/>
        </w:trPr>
        <w:tc>
          <w:tcPr>
            <w:tcW w:w="3420" w:type="dxa"/>
            <w:shd w:val="clear" w:color="auto" w:fill="auto"/>
          </w:tcPr>
          <w:p w14:paraId="27A1F2D7"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Has the remittance helped in increasing your savings?</w:t>
            </w:r>
          </w:p>
        </w:tc>
        <w:tc>
          <w:tcPr>
            <w:tcW w:w="540" w:type="dxa"/>
            <w:shd w:val="clear" w:color="auto" w:fill="auto"/>
          </w:tcPr>
          <w:p w14:paraId="0AEDE3F9"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634F6DF8"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793AAADE"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6</w:t>
            </w:r>
          </w:p>
        </w:tc>
        <w:tc>
          <w:tcPr>
            <w:tcW w:w="810" w:type="dxa"/>
            <w:shd w:val="clear" w:color="auto" w:fill="auto"/>
          </w:tcPr>
          <w:p w14:paraId="5AB9F671"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3.26</w:t>
            </w:r>
          </w:p>
        </w:tc>
        <w:tc>
          <w:tcPr>
            <w:tcW w:w="1267" w:type="dxa"/>
            <w:shd w:val="clear" w:color="auto" w:fill="auto"/>
          </w:tcPr>
          <w:p w14:paraId="2B302731"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1.249</w:t>
            </w:r>
          </w:p>
        </w:tc>
      </w:tr>
      <w:tr w:rsidR="00456E3E" w:rsidRPr="00DC3B5B" w14:paraId="09E24B49" w14:textId="77777777" w:rsidTr="00DC3B5B">
        <w:trPr>
          <w:cantSplit/>
        </w:trPr>
        <w:tc>
          <w:tcPr>
            <w:tcW w:w="3420" w:type="dxa"/>
            <w:shd w:val="clear" w:color="auto" w:fill="auto"/>
          </w:tcPr>
          <w:p w14:paraId="7C8F1173"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Has the remittance improved your ability to afford education for family members?</w:t>
            </w:r>
          </w:p>
        </w:tc>
        <w:tc>
          <w:tcPr>
            <w:tcW w:w="540" w:type="dxa"/>
            <w:shd w:val="clear" w:color="auto" w:fill="auto"/>
          </w:tcPr>
          <w:p w14:paraId="179D5EF1"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0B500843"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1859BB79"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6</w:t>
            </w:r>
          </w:p>
        </w:tc>
        <w:tc>
          <w:tcPr>
            <w:tcW w:w="810" w:type="dxa"/>
            <w:shd w:val="clear" w:color="auto" w:fill="auto"/>
          </w:tcPr>
          <w:p w14:paraId="4579CF39"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3.43</w:t>
            </w:r>
          </w:p>
        </w:tc>
        <w:tc>
          <w:tcPr>
            <w:tcW w:w="1267" w:type="dxa"/>
            <w:shd w:val="clear" w:color="auto" w:fill="auto"/>
          </w:tcPr>
          <w:p w14:paraId="6D0F955F"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1.455</w:t>
            </w:r>
          </w:p>
        </w:tc>
      </w:tr>
      <w:tr w:rsidR="00456E3E" w:rsidRPr="00DC3B5B" w14:paraId="657EBF45" w14:textId="77777777" w:rsidTr="00DC3B5B">
        <w:trPr>
          <w:cantSplit/>
        </w:trPr>
        <w:tc>
          <w:tcPr>
            <w:tcW w:w="3420" w:type="dxa"/>
            <w:shd w:val="clear" w:color="auto" w:fill="auto"/>
          </w:tcPr>
          <w:p w14:paraId="496EE70B"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lastRenderedPageBreak/>
              <w:t>Has the remittance improved your access to healthcare?</w:t>
            </w:r>
          </w:p>
        </w:tc>
        <w:tc>
          <w:tcPr>
            <w:tcW w:w="540" w:type="dxa"/>
            <w:shd w:val="clear" w:color="auto" w:fill="auto"/>
          </w:tcPr>
          <w:p w14:paraId="3EA25B53"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7596602E"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24F4CD88"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6</w:t>
            </w:r>
          </w:p>
        </w:tc>
        <w:tc>
          <w:tcPr>
            <w:tcW w:w="810" w:type="dxa"/>
            <w:shd w:val="clear" w:color="auto" w:fill="auto"/>
          </w:tcPr>
          <w:p w14:paraId="5E7DA7F5"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3.45</w:t>
            </w:r>
          </w:p>
        </w:tc>
        <w:tc>
          <w:tcPr>
            <w:tcW w:w="1267" w:type="dxa"/>
            <w:shd w:val="clear" w:color="auto" w:fill="auto"/>
          </w:tcPr>
          <w:p w14:paraId="15A13BC5"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1.379</w:t>
            </w:r>
          </w:p>
        </w:tc>
      </w:tr>
      <w:tr w:rsidR="00456E3E" w:rsidRPr="00DC3B5B" w14:paraId="70AAC178" w14:textId="77777777" w:rsidTr="00DC3B5B">
        <w:trPr>
          <w:cantSplit/>
        </w:trPr>
        <w:tc>
          <w:tcPr>
            <w:tcW w:w="3420" w:type="dxa"/>
            <w:shd w:val="clear" w:color="auto" w:fill="auto"/>
          </w:tcPr>
          <w:p w14:paraId="4A7C9794"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Has the remittance contributed to better housing conditions?</w:t>
            </w:r>
          </w:p>
        </w:tc>
        <w:tc>
          <w:tcPr>
            <w:tcW w:w="540" w:type="dxa"/>
            <w:shd w:val="clear" w:color="auto" w:fill="auto"/>
          </w:tcPr>
          <w:p w14:paraId="28CFD69E"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48693AAC"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07FCB912"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6</w:t>
            </w:r>
          </w:p>
        </w:tc>
        <w:tc>
          <w:tcPr>
            <w:tcW w:w="810" w:type="dxa"/>
            <w:shd w:val="clear" w:color="auto" w:fill="auto"/>
          </w:tcPr>
          <w:p w14:paraId="0554A030"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3.32</w:t>
            </w:r>
          </w:p>
        </w:tc>
        <w:tc>
          <w:tcPr>
            <w:tcW w:w="1267" w:type="dxa"/>
            <w:shd w:val="clear" w:color="auto" w:fill="auto"/>
          </w:tcPr>
          <w:p w14:paraId="1A921134"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1.419</w:t>
            </w:r>
          </w:p>
        </w:tc>
      </w:tr>
      <w:tr w:rsidR="00456E3E" w:rsidRPr="00DC3B5B" w14:paraId="4748C557" w14:textId="77777777" w:rsidTr="00DC3B5B">
        <w:trPr>
          <w:cantSplit/>
        </w:trPr>
        <w:tc>
          <w:tcPr>
            <w:tcW w:w="3420" w:type="dxa"/>
            <w:shd w:val="clear" w:color="auto" w:fill="auto"/>
          </w:tcPr>
          <w:p w14:paraId="61CD00AB"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Overall, how satisfied are you with the impact of remittance on your household economy?</w:t>
            </w:r>
          </w:p>
        </w:tc>
        <w:tc>
          <w:tcPr>
            <w:tcW w:w="540" w:type="dxa"/>
            <w:shd w:val="clear" w:color="auto" w:fill="auto"/>
          </w:tcPr>
          <w:p w14:paraId="109F8581"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shd w:val="clear" w:color="auto" w:fill="auto"/>
          </w:tcPr>
          <w:p w14:paraId="52D1501F"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w:t>
            </w:r>
          </w:p>
        </w:tc>
        <w:tc>
          <w:tcPr>
            <w:tcW w:w="1080" w:type="dxa"/>
            <w:shd w:val="clear" w:color="auto" w:fill="auto"/>
          </w:tcPr>
          <w:p w14:paraId="42FBA02F"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6</w:t>
            </w:r>
          </w:p>
        </w:tc>
        <w:tc>
          <w:tcPr>
            <w:tcW w:w="810" w:type="dxa"/>
            <w:shd w:val="clear" w:color="auto" w:fill="auto"/>
          </w:tcPr>
          <w:p w14:paraId="4A3D0CA1"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3.37</w:t>
            </w:r>
          </w:p>
        </w:tc>
        <w:tc>
          <w:tcPr>
            <w:tcW w:w="1267" w:type="dxa"/>
            <w:shd w:val="clear" w:color="auto" w:fill="auto"/>
          </w:tcPr>
          <w:p w14:paraId="231A695C"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1.296</w:t>
            </w:r>
          </w:p>
        </w:tc>
      </w:tr>
      <w:tr w:rsidR="00456E3E" w:rsidRPr="00DC3B5B" w14:paraId="191E401B" w14:textId="77777777" w:rsidTr="00DC3B5B">
        <w:trPr>
          <w:cantSplit/>
        </w:trPr>
        <w:tc>
          <w:tcPr>
            <w:tcW w:w="3420" w:type="dxa"/>
            <w:tcBorders>
              <w:bottom w:val="single" w:sz="4" w:space="0" w:color="auto"/>
            </w:tcBorders>
            <w:shd w:val="clear" w:color="auto" w:fill="auto"/>
          </w:tcPr>
          <w:p w14:paraId="4DC7690E" w14:textId="77777777" w:rsidR="00456E3E" w:rsidRPr="00DC3B5B" w:rsidRDefault="00456E3E" w:rsidP="007B1BDB">
            <w:pPr>
              <w:autoSpaceDE w:val="0"/>
              <w:autoSpaceDN w:val="0"/>
              <w:adjustRightInd w:val="0"/>
              <w:spacing w:after="0" w:line="360" w:lineRule="auto"/>
              <w:ind w:left="60" w:right="60"/>
              <w:jc w:val="left"/>
              <w:rPr>
                <w:rFonts w:cs="Times New Roman"/>
                <w:szCs w:val="24"/>
              </w:rPr>
            </w:pPr>
            <w:r w:rsidRPr="00DC3B5B">
              <w:rPr>
                <w:rFonts w:cs="Times New Roman"/>
                <w:szCs w:val="24"/>
              </w:rPr>
              <w:t>Valid N (listwise)</w:t>
            </w:r>
          </w:p>
        </w:tc>
        <w:tc>
          <w:tcPr>
            <w:tcW w:w="540" w:type="dxa"/>
            <w:tcBorders>
              <w:bottom w:val="single" w:sz="4" w:space="0" w:color="auto"/>
            </w:tcBorders>
            <w:shd w:val="clear" w:color="auto" w:fill="auto"/>
          </w:tcPr>
          <w:p w14:paraId="76161EBE" w14:textId="77777777" w:rsidR="00456E3E" w:rsidRPr="00DC3B5B" w:rsidRDefault="00456E3E" w:rsidP="007B1BDB">
            <w:pPr>
              <w:autoSpaceDE w:val="0"/>
              <w:autoSpaceDN w:val="0"/>
              <w:adjustRightInd w:val="0"/>
              <w:spacing w:after="0" w:line="360" w:lineRule="auto"/>
              <w:ind w:left="60" w:right="60"/>
              <w:jc w:val="right"/>
              <w:rPr>
                <w:rFonts w:cs="Times New Roman"/>
                <w:szCs w:val="24"/>
              </w:rPr>
            </w:pPr>
            <w:r w:rsidRPr="00DC3B5B">
              <w:rPr>
                <w:rFonts w:cs="Times New Roman"/>
                <w:szCs w:val="24"/>
              </w:rPr>
              <w:t>156</w:t>
            </w:r>
          </w:p>
        </w:tc>
        <w:tc>
          <w:tcPr>
            <w:tcW w:w="990" w:type="dxa"/>
            <w:tcBorders>
              <w:bottom w:val="single" w:sz="4" w:space="0" w:color="auto"/>
            </w:tcBorders>
            <w:shd w:val="clear" w:color="auto" w:fill="auto"/>
            <w:vAlign w:val="center"/>
          </w:tcPr>
          <w:p w14:paraId="49A64500" w14:textId="77777777" w:rsidR="00456E3E" w:rsidRPr="00DC3B5B" w:rsidRDefault="00456E3E" w:rsidP="007B1BDB">
            <w:pPr>
              <w:autoSpaceDE w:val="0"/>
              <w:autoSpaceDN w:val="0"/>
              <w:adjustRightInd w:val="0"/>
              <w:spacing w:after="0" w:line="360" w:lineRule="auto"/>
              <w:jc w:val="left"/>
              <w:rPr>
                <w:rFonts w:cs="Times New Roman"/>
                <w:szCs w:val="24"/>
              </w:rPr>
            </w:pPr>
          </w:p>
        </w:tc>
        <w:tc>
          <w:tcPr>
            <w:tcW w:w="1080" w:type="dxa"/>
            <w:tcBorders>
              <w:bottom w:val="single" w:sz="4" w:space="0" w:color="auto"/>
            </w:tcBorders>
            <w:shd w:val="clear" w:color="auto" w:fill="auto"/>
            <w:vAlign w:val="center"/>
          </w:tcPr>
          <w:p w14:paraId="0AB1F316" w14:textId="77777777" w:rsidR="00456E3E" w:rsidRPr="00DC3B5B" w:rsidRDefault="00456E3E" w:rsidP="007B1BDB">
            <w:pPr>
              <w:autoSpaceDE w:val="0"/>
              <w:autoSpaceDN w:val="0"/>
              <w:adjustRightInd w:val="0"/>
              <w:spacing w:after="0" w:line="360" w:lineRule="auto"/>
              <w:jc w:val="left"/>
              <w:rPr>
                <w:rFonts w:cs="Times New Roman"/>
                <w:szCs w:val="24"/>
              </w:rPr>
            </w:pPr>
          </w:p>
        </w:tc>
        <w:tc>
          <w:tcPr>
            <w:tcW w:w="810" w:type="dxa"/>
            <w:tcBorders>
              <w:bottom w:val="single" w:sz="4" w:space="0" w:color="auto"/>
            </w:tcBorders>
            <w:shd w:val="clear" w:color="auto" w:fill="auto"/>
            <w:vAlign w:val="center"/>
          </w:tcPr>
          <w:p w14:paraId="67C73D8D" w14:textId="77777777" w:rsidR="00456E3E" w:rsidRPr="00DC3B5B" w:rsidRDefault="00456E3E" w:rsidP="007B1BDB">
            <w:pPr>
              <w:autoSpaceDE w:val="0"/>
              <w:autoSpaceDN w:val="0"/>
              <w:adjustRightInd w:val="0"/>
              <w:spacing w:after="0" w:line="360" w:lineRule="auto"/>
              <w:jc w:val="left"/>
              <w:rPr>
                <w:rFonts w:cs="Times New Roman"/>
                <w:szCs w:val="24"/>
              </w:rPr>
            </w:pPr>
          </w:p>
        </w:tc>
        <w:tc>
          <w:tcPr>
            <w:tcW w:w="1267" w:type="dxa"/>
            <w:tcBorders>
              <w:bottom w:val="single" w:sz="4" w:space="0" w:color="auto"/>
            </w:tcBorders>
            <w:shd w:val="clear" w:color="auto" w:fill="auto"/>
            <w:vAlign w:val="center"/>
          </w:tcPr>
          <w:p w14:paraId="61912AA7" w14:textId="77777777" w:rsidR="00456E3E" w:rsidRPr="00DC3B5B" w:rsidRDefault="00456E3E" w:rsidP="007B1BDB">
            <w:pPr>
              <w:autoSpaceDE w:val="0"/>
              <w:autoSpaceDN w:val="0"/>
              <w:adjustRightInd w:val="0"/>
              <w:spacing w:after="0" w:line="360" w:lineRule="auto"/>
              <w:jc w:val="left"/>
              <w:rPr>
                <w:rFonts w:cs="Times New Roman"/>
                <w:szCs w:val="24"/>
              </w:rPr>
            </w:pPr>
          </w:p>
        </w:tc>
      </w:tr>
    </w:tbl>
    <w:p w14:paraId="65B80861" w14:textId="74C58A1D" w:rsidR="00D50DCE" w:rsidRDefault="00D50DCE" w:rsidP="007B1BDB">
      <w:pPr>
        <w:spacing w:before="100" w:beforeAutospacing="1" w:after="100" w:afterAutospacing="1" w:line="360" w:lineRule="auto"/>
        <w:rPr>
          <w:rFonts w:eastAsia="Times New Roman" w:cs="Times New Roman"/>
          <w:color w:val="auto"/>
          <w:szCs w:val="24"/>
        </w:rPr>
      </w:pPr>
      <w:r>
        <w:rPr>
          <w:rFonts w:eastAsia="Times New Roman" w:cs="Times New Roman"/>
          <w:color w:val="auto"/>
          <w:szCs w:val="24"/>
        </w:rPr>
        <w:t xml:space="preserve">    Fig-4.24: Descriptive statistics</w:t>
      </w:r>
    </w:p>
    <w:p w14:paraId="4645D134" w14:textId="4190A934"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The descriptive statistics provide a detailed overview of how remittances affect various aspects of household life. On average, people receive remittances between “sometimes” and “often”, with a mean score of 3.88 and a standard deviation of 1.204. This suggests that remittances are a regular but not always frequent source of support for most households.</w:t>
      </w:r>
    </w:p>
    <w:p w14:paraId="26C5BFA3"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In terms of the average annual amount received, the data shows that remittances fall between “moderate” and “high”, with a mean score of 3.78 and a standard deviation of 1.504. This indicates that the amount of remittance received per year is generally seen as being of moderate to significant financial value.</w:t>
      </w:r>
    </w:p>
    <w:p w14:paraId="6D3391BE"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When it comes to how remittances are spent, most of the funds are allocated to basic needs such as food, clothing, and shelter to a “small” extent, with a mean score of 2.31 and a standard deviation of 0.982. This suggests that while basic needs are a priority, remittances are not solely used for these expenses.</w:t>
      </w:r>
    </w:p>
    <w:p w14:paraId="1DFCE3F6"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Similarly, the portion of remittance spent on education is also considered to be “small”, with a mean score of 2.23 and a standard deviation of 1.002. This indicates that education expenses are covered to a minor extent compared to other uses of remittance funds.</w:t>
      </w:r>
    </w:p>
    <w:p w14:paraId="741B367B"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 xml:space="preserve">For healthcare, the data shows that remittances contribute to this expense to a “small” extent as well, with a mean score of 2.13 and a standard deviation of 1.064. This </w:t>
      </w:r>
      <w:r w:rsidRPr="00E209FC">
        <w:rPr>
          <w:rFonts w:eastAsia="Times New Roman" w:cs="Times New Roman"/>
          <w:color w:val="auto"/>
          <w:szCs w:val="24"/>
        </w:rPr>
        <w:lastRenderedPageBreak/>
        <w:t>suggests that while healthcare is an important area, remittances are not the main source of funding for these costs.</w:t>
      </w:r>
    </w:p>
    <w:p w14:paraId="2ADB6A32"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The funds saved from remittances are also seen as being used to a “small” extent, with a mean score of 2.10 and a standard deviation of 1.088. This implies that saving from remittance funds is not a major focus for most recipients.</w:t>
      </w:r>
    </w:p>
    <w:p w14:paraId="2D37AA7F"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Investment opportunities from remittances are the least emphasized, with a mean score of 1.88 and a standard deviation of 1.126. This low score indicates that remittances are rarely used for investment purposes.</w:t>
      </w:r>
    </w:p>
    <w:p w14:paraId="201BA2BA"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When it comes to debt repayment, remittances are used to a “small” extent, as shown by a mean score of 2.29 and a standard deviation of 1.108. This suggests that while some funds are allocated for debt repayment, it is not the primary use of remittances.</w:t>
      </w:r>
    </w:p>
    <w:p w14:paraId="7CC9EA69"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Social and cultural expenditures, such as weddings and festivals, receive a moderate amount of remittance funds, with a mean score of 2.06 and a standard deviation of 0.899. This indicates that while some funds go toward social and cultural events, it is not a major expenditure.</w:t>
      </w:r>
    </w:p>
    <w:p w14:paraId="5A52D2F0"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The data shows that the increase in expenditure on health, education, and food due to remittances is rated as “moderate”, with a mean score of 2.79 and a standard deviation of 0.988. This suggests that remittances have a noticeable but not overwhelming effect on these expenses.</w:t>
      </w:r>
    </w:p>
    <w:p w14:paraId="7AC0B79D"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Overall, remittances are seen to “moderately” improve living standards, with a mean score of 3.29 and a standard deviation of 1.468. This indicates that people generally believe remittances have a positive but not transformative impact on their living conditions.</w:t>
      </w:r>
    </w:p>
    <w:p w14:paraId="15178C9A"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Similarly, the impact of remittances on increasing savings is viewed as “moderate”, with a mean score of 3.26 and a standard deviation of 1.249. This suggests that while remittances help with savings, they are not the sole source of financial growth.</w:t>
      </w:r>
    </w:p>
    <w:p w14:paraId="2E3CC3DD"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 xml:space="preserve">Remittances are also perceived to have a “moderate” effect on improving access to education and healthcare, with mean scores of 3.43 and 3.45, respectively, and standard </w:t>
      </w:r>
      <w:r w:rsidRPr="00E209FC">
        <w:rPr>
          <w:rFonts w:eastAsia="Times New Roman" w:cs="Times New Roman"/>
          <w:color w:val="auto"/>
          <w:szCs w:val="24"/>
        </w:rPr>
        <w:lastRenderedPageBreak/>
        <w:t>deviations of 1.455 and 1.379. This shows that remittances play a positive role in these areas but are not the only factor.</w:t>
      </w:r>
    </w:p>
    <w:p w14:paraId="70725C23" w14:textId="77777777" w:rsidR="00E209FC" w:rsidRPr="00E209FC"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The contribution of remittances to better housing conditions is rated as “moderate”, with a mean score of 3.32 and a standard deviation of 1.419. This indicates that while remittances help improve housing, the effect is moderate.</w:t>
      </w:r>
    </w:p>
    <w:p w14:paraId="5048B7C3" w14:textId="6B5DEBAF" w:rsidR="00456E3E" w:rsidRDefault="00E209FC" w:rsidP="007B1BDB">
      <w:pPr>
        <w:spacing w:before="100" w:beforeAutospacing="1" w:after="100" w:afterAutospacing="1" w:line="360" w:lineRule="auto"/>
        <w:rPr>
          <w:rFonts w:eastAsia="Times New Roman" w:cs="Times New Roman"/>
          <w:color w:val="auto"/>
          <w:szCs w:val="24"/>
        </w:rPr>
      </w:pPr>
      <w:r w:rsidRPr="00E209FC">
        <w:rPr>
          <w:rFonts w:eastAsia="Times New Roman" w:cs="Times New Roman"/>
          <w:color w:val="auto"/>
          <w:szCs w:val="24"/>
        </w:rPr>
        <w:t>Finally, the overall satisfaction with the impact of remittances on the household economy is rated as “moderate”, with a mean score of 3.37 and a standard deviation of 1.296. This shows that most people are reasonably satisfied with the benefits of remittances but recognize that there are limits to their impact.</w:t>
      </w:r>
    </w:p>
    <w:p w14:paraId="7466858C" w14:textId="287CA916" w:rsidR="00D16E6F" w:rsidRPr="00955740" w:rsidRDefault="00BC1C67" w:rsidP="007B1BDB">
      <w:pPr>
        <w:pStyle w:val="Heading2"/>
        <w:rPr>
          <w:rFonts w:eastAsia="Times New Roman" w:cs="Times New Roman"/>
          <w:color w:val="auto"/>
          <w:szCs w:val="24"/>
        </w:rPr>
      </w:pPr>
      <w:bookmarkStart w:id="27" w:name="_Toc171485437"/>
      <w:r w:rsidRPr="00D16E6F">
        <w:t>Correlations</w:t>
      </w:r>
      <w:r>
        <w:t xml:space="preserve"> Analysis</w:t>
      </w:r>
      <w:bookmarkEnd w:id="2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570"/>
        <w:gridCol w:w="2422"/>
        <w:gridCol w:w="1527"/>
        <w:gridCol w:w="1787"/>
      </w:tblGrid>
      <w:tr w:rsidR="00174C4E" w:rsidRPr="007B1BDB" w14:paraId="4E031A0B" w14:textId="77777777" w:rsidTr="007B1BDB">
        <w:trPr>
          <w:cantSplit/>
          <w:trHeight w:val="54"/>
        </w:trPr>
        <w:tc>
          <w:tcPr>
            <w:tcW w:w="5000" w:type="pct"/>
            <w:gridSpan w:val="4"/>
            <w:tcBorders>
              <w:top w:val="nil"/>
              <w:left w:val="nil"/>
              <w:bottom w:val="nil"/>
              <w:right w:val="nil"/>
            </w:tcBorders>
            <w:shd w:val="clear" w:color="auto" w:fill="auto"/>
            <w:vAlign w:val="center"/>
          </w:tcPr>
          <w:p w14:paraId="1C1E35CF" w14:textId="77777777" w:rsidR="00D16E6F" w:rsidRPr="007B1BDB" w:rsidRDefault="00D16E6F" w:rsidP="007B1BDB">
            <w:pPr>
              <w:autoSpaceDE w:val="0"/>
              <w:autoSpaceDN w:val="0"/>
              <w:adjustRightInd w:val="0"/>
              <w:spacing w:after="0" w:line="360" w:lineRule="auto"/>
              <w:ind w:left="60" w:right="60"/>
              <w:jc w:val="center"/>
              <w:rPr>
                <w:rFonts w:cs="Times New Roman"/>
                <w:szCs w:val="24"/>
              </w:rPr>
            </w:pPr>
            <w:r w:rsidRPr="007B1BDB">
              <w:rPr>
                <w:rFonts w:cs="Times New Roman"/>
                <w:b/>
                <w:bCs/>
                <w:szCs w:val="24"/>
              </w:rPr>
              <w:t>Correlations</w:t>
            </w:r>
          </w:p>
        </w:tc>
      </w:tr>
      <w:tr w:rsidR="00174C4E" w:rsidRPr="007B1BDB" w14:paraId="76C22F57" w14:textId="77777777" w:rsidTr="007B1BDB">
        <w:trPr>
          <w:cantSplit/>
        </w:trPr>
        <w:tc>
          <w:tcPr>
            <w:tcW w:w="3005" w:type="pct"/>
            <w:gridSpan w:val="2"/>
            <w:tcBorders>
              <w:top w:val="nil"/>
              <w:left w:val="nil"/>
              <w:bottom w:val="single" w:sz="8" w:space="0" w:color="152935"/>
              <w:right w:val="nil"/>
            </w:tcBorders>
            <w:shd w:val="clear" w:color="auto" w:fill="auto"/>
            <w:vAlign w:val="bottom"/>
          </w:tcPr>
          <w:p w14:paraId="680AFBA6" w14:textId="77777777" w:rsidR="00D16E6F" w:rsidRPr="007B1BDB" w:rsidRDefault="00D16E6F" w:rsidP="007B1BDB">
            <w:pPr>
              <w:autoSpaceDE w:val="0"/>
              <w:autoSpaceDN w:val="0"/>
              <w:adjustRightInd w:val="0"/>
              <w:spacing w:after="0" w:line="360" w:lineRule="auto"/>
              <w:jc w:val="left"/>
              <w:rPr>
                <w:rFonts w:cs="Times New Roman"/>
                <w:szCs w:val="24"/>
              </w:rPr>
            </w:pPr>
          </w:p>
        </w:tc>
        <w:tc>
          <w:tcPr>
            <w:tcW w:w="919" w:type="pct"/>
            <w:tcBorders>
              <w:top w:val="nil"/>
              <w:left w:val="nil"/>
              <w:bottom w:val="single" w:sz="8" w:space="0" w:color="152935"/>
              <w:right w:val="single" w:sz="8" w:space="0" w:color="E0E0E0"/>
            </w:tcBorders>
            <w:shd w:val="clear" w:color="auto" w:fill="auto"/>
            <w:vAlign w:val="bottom"/>
          </w:tcPr>
          <w:p w14:paraId="0864FF7A" w14:textId="77777777" w:rsidR="00D16E6F" w:rsidRPr="007B1BDB" w:rsidRDefault="00D16E6F" w:rsidP="007B1BDB">
            <w:pPr>
              <w:autoSpaceDE w:val="0"/>
              <w:autoSpaceDN w:val="0"/>
              <w:adjustRightInd w:val="0"/>
              <w:spacing w:after="0" w:line="360" w:lineRule="auto"/>
              <w:ind w:left="60" w:right="60"/>
              <w:jc w:val="center"/>
              <w:rPr>
                <w:rFonts w:cs="Times New Roman"/>
                <w:szCs w:val="24"/>
              </w:rPr>
            </w:pPr>
            <w:r w:rsidRPr="007B1BDB">
              <w:rPr>
                <w:rFonts w:cs="Times New Roman"/>
                <w:szCs w:val="24"/>
              </w:rPr>
              <w:t>Remittance</w:t>
            </w:r>
          </w:p>
        </w:tc>
        <w:tc>
          <w:tcPr>
            <w:tcW w:w="1076" w:type="pct"/>
            <w:tcBorders>
              <w:top w:val="nil"/>
              <w:left w:val="single" w:sz="8" w:space="0" w:color="E0E0E0"/>
              <w:bottom w:val="single" w:sz="8" w:space="0" w:color="152935"/>
              <w:right w:val="nil"/>
            </w:tcBorders>
            <w:shd w:val="clear" w:color="auto" w:fill="auto"/>
            <w:vAlign w:val="bottom"/>
          </w:tcPr>
          <w:p w14:paraId="25A99B93" w14:textId="63B1514A" w:rsidR="00D16E6F" w:rsidRPr="007B1BDB" w:rsidRDefault="00D16E6F" w:rsidP="007B1BDB">
            <w:pPr>
              <w:autoSpaceDE w:val="0"/>
              <w:autoSpaceDN w:val="0"/>
              <w:adjustRightInd w:val="0"/>
              <w:spacing w:after="0" w:line="360" w:lineRule="auto"/>
              <w:ind w:left="60" w:right="60"/>
              <w:jc w:val="center"/>
              <w:rPr>
                <w:rFonts w:cs="Times New Roman"/>
                <w:szCs w:val="24"/>
              </w:rPr>
            </w:pPr>
            <w:r w:rsidRPr="007B1BDB">
              <w:rPr>
                <w:rFonts w:cs="Times New Roman"/>
                <w:szCs w:val="24"/>
              </w:rPr>
              <w:t>Household</w:t>
            </w:r>
            <w:r w:rsidR="00174C4E" w:rsidRPr="007B1BDB">
              <w:rPr>
                <w:rFonts w:cs="Times New Roman"/>
                <w:szCs w:val="24"/>
              </w:rPr>
              <w:t xml:space="preserve"> </w:t>
            </w:r>
            <w:r w:rsidRPr="007B1BDB">
              <w:rPr>
                <w:rFonts w:cs="Times New Roman"/>
                <w:szCs w:val="24"/>
              </w:rPr>
              <w:t>Economy</w:t>
            </w:r>
          </w:p>
        </w:tc>
      </w:tr>
      <w:tr w:rsidR="00174C4E" w:rsidRPr="007B1BDB" w14:paraId="148763AD" w14:textId="77777777" w:rsidTr="007B1BDB">
        <w:trPr>
          <w:cantSplit/>
        </w:trPr>
        <w:tc>
          <w:tcPr>
            <w:tcW w:w="1547" w:type="pct"/>
            <w:tcBorders>
              <w:top w:val="single" w:sz="8" w:space="0" w:color="152935"/>
              <w:left w:val="nil"/>
              <w:bottom w:val="nil"/>
              <w:right w:val="nil"/>
            </w:tcBorders>
            <w:shd w:val="clear" w:color="auto" w:fill="auto"/>
          </w:tcPr>
          <w:p w14:paraId="129F0DC0" w14:textId="77777777" w:rsidR="00D16E6F" w:rsidRPr="007B1BDB" w:rsidRDefault="00D16E6F" w:rsidP="007B1BDB">
            <w:pPr>
              <w:autoSpaceDE w:val="0"/>
              <w:autoSpaceDN w:val="0"/>
              <w:adjustRightInd w:val="0"/>
              <w:spacing w:after="0" w:line="360" w:lineRule="auto"/>
              <w:ind w:left="60" w:right="60"/>
              <w:jc w:val="left"/>
              <w:rPr>
                <w:rFonts w:cs="Times New Roman"/>
                <w:szCs w:val="24"/>
              </w:rPr>
            </w:pPr>
            <w:r w:rsidRPr="007B1BDB">
              <w:rPr>
                <w:rFonts w:cs="Times New Roman"/>
                <w:szCs w:val="24"/>
              </w:rPr>
              <w:t>Remittance</w:t>
            </w:r>
          </w:p>
        </w:tc>
        <w:tc>
          <w:tcPr>
            <w:tcW w:w="1458" w:type="pct"/>
            <w:tcBorders>
              <w:top w:val="single" w:sz="8" w:space="0" w:color="152935"/>
              <w:left w:val="nil"/>
              <w:bottom w:val="single" w:sz="8" w:space="0" w:color="AEAEAE"/>
              <w:right w:val="nil"/>
            </w:tcBorders>
            <w:shd w:val="clear" w:color="auto" w:fill="auto"/>
          </w:tcPr>
          <w:p w14:paraId="7ADF3D03" w14:textId="6AA35EF9" w:rsidR="00D16E6F" w:rsidRPr="007B1BDB" w:rsidRDefault="00D16E6F" w:rsidP="007B1BDB">
            <w:pPr>
              <w:autoSpaceDE w:val="0"/>
              <w:autoSpaceDN w:val="0"/>
              <w:adjustRightInd w:val="0"/>
              <w:spacing w:after="0" w:line="360" w:lineRule="auto"/>
              <w:ind w:left="60" w:right="60"/>
              <w:jc w:val="left"/>
              <w:rPr>
                <w:rFonts w:cs="Times New Roman"/>
                <w:szCs w:val="24"/>
              </w:rPr>
            </w:pPr>
          </w:p>
        </w:tc>
        <w:tc>
          <w:tcPr>
            <w:tcW w:w="919" w:type="pct"/>
            <w:tcBorders>
              <w:top w:val="single" w:sz="8" w:space="0" w:color="152935"/>
              <w:left w:val="nil"/>
              <w:bottom w:val="single" w:sz="8" w:space="0" w:color="AEAEAE"/>
              <w:right w:val="single" w:sz="8" w:space="0" w:color="E0E0E0"/>
            </w:tcBorders>
            <w:shd w:val="clear" w:color="auto" w:fill="auto"/>
          </w:tcPr>
          <w:p w14:paraId="61349A1E" w14:textId="77777777" w:rsidR="00D16E6F" w:rsidRPr="007B1BDB" w:rsidRDefault="00D16E6F" w:rsidP="007B1BDB">
            <w:pPr>
              <w:autoSpaceDE w:val="0"/>
              <w:autoSpaceDN w:val="0"/>
              <w:adjustRightInd w:val="0"/>
              <w:spacing w:after="0" w:line="360" w:lineRule="auto"/>
              <w:ind w:left="60" w:right="60"/>
              <w:jc w:val="right"/>
              <w:rPr>
                <w:rFonts w:cs="Times New Roman"/>
                <w:szCs w:val="24"/>
              </w:rPr>
            </w:pPr>
            <w:r w:rsidRPr="007B1BDB">
              <w:rPr>
                <w:rFonts w:cs="Times New Roman"/>
                <w:szCs w:val="24"/>
              </w:rPr>
              <w:t>1</w:t>
            </w:r>
          </w:p>
        </w:tc>
        <w:tc>
          <w:tcPr>
            <w:tcW w:w="1076" w:type="pct"/>
            <w:tcBorders>
              <w:top w:val="single" w:sz="8" w:space="0" w:color="152935"/>
              <w:left w:val="single" w:sz="8" w:space="0" w:color="E0E0E0"/>
              <w:bottom w:val="single" w:sz="8" w:space="0" w:color="AEAEAE"/>
              <w:right w:val="nil"/>
            </w:tcBorders>
            <w:shd w:val="clear" w:color="auto" w:fill="auto"/>
          </w:tcPr>
          <w:p w14:paraId="3A095ED2" w14:textId="77777777" w:rsidR="00D16E6F" w:rsidRPr="007B1BDB" w:rsidRDefault="00D16E6F" w:rsidP="007B1BDB">
            <w:pPr>
              <w:autoSpaceDE w:val="0"/>
              <w:autoSpaceDN w:val="0"/>
              <w:adjustRightInd w:val="0"/>
              <w:spacing w:after="0" w:line="360" w:lineRule="auto"/>
              <w:ind w:left="60" w:right="60"/>
              <w:jc w:val="right"/>
              <w:rPr>
                <w:rFonts w:cs="Times New Roman"/>
                <w:szCs w:val="24"/>
              </w:rPr>
            </w:pPr>
            <w:r w:rsidRPr="007B1BDB">
              <w:rPr>
                <w:rFonts w:cs="Times New Roman"/>
                <w:szCs w:val="24"/>
              </w:rPr>
              <w:t>.291</w:t>
            </w:r>
            <w:r w:rsidRPr="007B1BDB">
              <w:rPr>
                <w:rFonts w:cs="Times New Roman"/>
                <w:szCs w:val="24"/>
                <w:vertAlign w:val="superscript"/>
              </w:rPr>
              <w:t>**</w:t>
            </w:r>
          </w:p>
        </w:tc>
      </w:tr>
      <w:tr w:rsidR="00955740" w:rsidRPr="007B1BDB" w14:paraId="1657BF2B" w14:textId="77777777" w:rsidTr="007B1BDB">
        <w:trPr>
          <w:cantSplit/>
          <w:trHeight w:val="367"/>
        </w:trPr>
        <w:tc>
          <w:tcPr>
            <w:tcW w:w="1547" w:type="pct"/>
            <w:vMerge w:val="restart"/>
            <w:tcBorders>
              <w:top w:val="single" w:sz="8" w:space="0" w:color="AEAEAE"/>
              <w:left w:val="nil"/>
              <w:bottom w:val="single" w:sz="8" w:space="0" w:color="152935"/>
              <w:right w:val="nil"/>
            </w:tcBorders>
            <w:shd w:val="clear" w:color="auto" w:fill="auto"/>
          </w:tcPr>
          <w:p w14:paraId="7A87DE69" w14:textId="62B5E1C3" w:rsidR="00955740" w:rsidRPr="007B1BDB" w:rsidRDefault="00955740" w:rsidP="007B1BDB">
            <w:pPr>
              <w:autoSpaceDE w:val="0"/>
              <w:autoSpaceDN w:val="0"/>
              <w:adjustRightInd w:val="0"/>
              <w:spacing w:after="0" w:line="360" w:lineRule="auto"/>
              <w:ind w:left="60" w:right="60"/>
              <w:jc w:val="left"/>
              <w:rPr>
                <w:rFonts w:cs="Times New Roman"/>
                <w:szCs w:val="24"/>
              </w:rPr>
            </w:pPr>
            <w:r w:rsidRPr="007B1BDB">
              <w:rPr>
                <w:rFonts w:cs="Times New Roman"/>
                <w:szCs w:val="24"/>
              </w:rPr>
              <w:t>Household Economy</w:t>
            </w:r>
          </w:p>
        </w:tc>
        <w:tc>
          <w:tcPr>
            <w:tcW w:w="2377" w:type="pct"/>
            <w:gridSpan w:val="2"/>
            <w:tcBorders>
              <w:top w:val="single" w:sz="8" w:space="0" w:color="AEAEAE"/>
              <w:left w:val="nil"/>
              <w:right w:val="single" w:sz="8" w:space="0" w:color="E0E0E0"/>
            </w:tcBorders>
            <w:shd w:val="clear" w:color="auto" w:fill="auto"/>
          </w:tcPr>
          <w:p w14:paraId="5B8D7575" w14:textId="77777777" w:rsidR="00955740" w:rsidRPr="007B1BDB" w:rsidRDefault="00955740" w:rsidP="007B1BDB">
            <w:pPr>
              <w:autoSpaceDE w:val="0"/>
              <w:autoSpaceDN w:val="0"/>
              <w:adjustRightInd w:val="0"/>
              <w:spacing w:after="0" w:line="360" w:lineRule="auto"/>
              <w:ind w:left="60" w:right="60"/>
              <w:jc w:val="right"/>
              <w:rPr>
                <w:rFonts w:cs="Times New Roman"/>
                <w:szCs w:val="24"/>
              </w:rPr>
            </w:pPr>
            <w:r w:rsidRPr="007B1BDB">
              <w:rPr>
                <w:rFonts w:cs="Times New Roman"/>
                <w:szCs w:val="24"/>
              </w:rPr>
              <w:t>.291</w:t>
            </w:r>
            <w:r w:rsidRPr="007B1BDB">
              <w:rPr>
                <w:rFonts w:cs="Times New Roman"/>
                <w:szCs w:val="24"/>
                <w:vertAlign w:val="superscript"/>
              </w:rPr>
              <w:t>**</w:t>
            </w:r>
          </w:p>
        </w:tc>
        <w:tc>
          <w:tcPr>
            <w:tcW w:w="1076" w:type="pct"/>
            <w:tcBorders>
              <w:top w:val="single" w:sz="8" w:space="0" w:color="AEAEAE"/>
              <w:left w:val="single" w:sz="8" w:space="0" w:color="E0E0E0"/>
              <w:right w:val="nil"/>
            </w:tcBorders>
            <w:shd w:val="clear" w:color="auto" w:fill="auto"/>
          </w:tcPr>
          <w:p w14:paraId="5CDFF21A" w14:textId="77777777" w:rsidR="00955740" w:rsidRPr="007B1BDB" w:rsidRDefault="00955740" w:rsidP="007B1BDB">
            <w:pPr>
              <w:autoSpaceDE w:val="0"/>
              <w:autoSpaceDN w:val="0"/>
              <w:adjustRightInd w:val="0"/>
              <w:spacing w:after="0" w:line="360" w:lineRule="auto"/>
              <w:ind w:left="60" w:right="60"/>
              <w:jc w:val="right"/>
              <w:rPr>
                <w:rFonts w:cs="Times New Roman"/>
                <w:szCs w:val="24"/>
              </w:rPr>
            </w:pPr>
            <w:r w:rsidRPr="007B1BDB">
              <w:rPr>
                <w:rFonts w:cs="Times New Roman"/>
                <w:szCs w:val="24"/>
              </w:rPr>
              <w:t>1</w:t>
            </w:r>
          </w:p>
        </w:tc>
      </w:tr>
      <w:tr w:rsidR="00174C4E" w:rsidRPr="007B1BDB" w14:paraId="6D97CD8D" w14:textId="77777777" w:rsidTr="007B1BDB">
        <w:trPr>
          <w:cantSplit/>
        </w:trPr>
        <w:tc>
          <w:tcPr>
            <w:tcW w:w="1547" w:type="pct"/>
            <w:vMerge/>
            <w:tcBorders>
              <w:top w:val="single" w:sz="8" w:space="0" w:color="AEAEAE"/>
              <w:left w:val="nil"/>
              <w:bottom w:val="single" w:sz="8" w:space="0" w:color="152935"/>
              <w:right w:val="nil"/>
            </w:tcBorders>
            <w:shd w:val="clear" w:color="auto" w:fill="auto"/>
          </w:tcPr>
          <w:p w14:paraId="1688ED59" w14:textId="77777777" w:rsidR="00D16E6F" w:rsidRPr="007B1BDB" w:rsidRDefault="00D16E6F" w:rsidP="007B1BDB">
            <w:pPr>
              <w:autoSpaceDE w:val="0"/>
              <w:autoSpaceDN w:val="0"/>
              <w:adjustRightInd w:val="0"/>
              <w:spacing w:after="0" w:line="360" w:lineRule="auto"/>
              <w:jc w:val="left"/>
              <w:rPr>
                <w:rFonts w:cs="Times New Roman"/>
                <w:szCs w:val="24"/>
              </w:rPr>
            </w:pPr>
          </w:p>
        </w:tc>
        <w:tc>
          <w:tcPr>
            <w:tcW w:w="1458" w:type="pct"/>
            <w:tcBorders>
              <w:top w:val="single" w:sz="8" w:space="0" w:color="AEAEAE"/>
              <w:left w:val="nil"/>
              <w:bottom w:val="single" w:sz="8" w:space="0" w:color="152935"/>
              <w:right w:val="nil"/>
            </w:tcBorders>
            <w:shd w:val="clear" w:color="auto" w:fill="auto"/>
          </w:tcPr>
          <w:p w14:paraId="1E063ED5" w14:textId="77777777" w:rsidR="00D16E6F" w:rsidRPr="007B1BDB" w:rsidRDefault="00D16E6F" w:rsidP="007B1BDB">
            <w:pPr>
              <w:autoSpaceDE w:val="0"/>
              <w:autoSpaceDN w:val="0"/>
              <w:adjustRightInd w:val="0"/>
              <w:spacing w:after="0" w:line="360" w:lineRule="auto"/>
              <w:ind w:left="60" w:right="60"/>
              <w:jc w:val="left"/>
              <w:rPr>
                <w:rFonts w:cs="Times New Roman"/>
                <w:szCs w:val="24"/>
              </w:rPr>
            </w:pPr>
            <w:r w:rsidRPr="007B1BDB">
              <w:rPr>
                <w:rFonts w:cs="Times New Roman"/>
                <w:szCs w:val="24"/>
              </w:rPr>
              <w:t>N</w:t>
            </w:r>
          </w:p>
        </w:tc>
        <w:tc>
          <w:tcPr>
            <w:tcW w:w="919" w:type="pct"/>
            <w:tcBorders>
              <w:top w:val="single" w:sz="8" w:space="0" w:color="AEAEAE"/>
              <w:left w:val="nil"/>
              <w:bottom w:val="single" w:sz="8" w:space="0" w:color="152935"/>
              <w:right w:val="single" w:sz="8" w:space="0" w:color="E0E0E0"/>
            </w:tcBorders>
            <w:shd w:val="clear" w:color="auto" w:fill="auto"/>
          </w:tcPr>
          <w:p w14:paraId="70A54080" w14:textId="77777777" w:rsidR="00D16E6F" w:rsidRPr="007B1BDB" w:rsidRDefault="00D16E6F" w:rsidP="007B1BDB">
            <w:pPr>
              <w:autoSpaceDE w:val="0"/>
              <w:autoSpaceDN w:val="0"/>
              <w:adjustRightInd w:val="0"/>
              <w:spacing w:after="0" w:line="360" w:lineRule="auto"/>
              <w:ind w:left="60" w:right="60"/>
              <w:jc w:val="right"/>
              <w:rPr>
                <w:rFonts w:cs="Times New Roman"/>
                <w:szCs w:val="24"/>
              </w:rPr>
            </w:pPr>
            <w:r w:rsidRPr="007B1BDB">
              <w:rPr>
                <w:rFonts w:cs="Times New Roman"/>
                <w:szCs w:val="24"/>
              </w:rPr>
              <w:t>156</w:t>
            </w:r>
          </w:p>
        </w:tc>
        <w:tc>
          <w:tcPr>
            <w:tcW w:w="1076" w:type="pct"/>
            <w:tcBorders>
              <w:top w:val="single" w:sz="8" w:space="0" w:color="AEAEAE"/>
              <w:left w:val="single" w:sz="8" w:space="0" w:color="E0E0E0"/>
              <w:bottom w:val="single" w:sz="8" w:space="0" w:color="152935"/>
              <w:right w:val="nil"/>
            </w:tcBorders>
            <w:shd w:val="clear" w:color="auto" w:fill="auto"/>
          </w:tcPr>
          <w:p w14:paraId="0EA86783" w14:textId="77777777" w:rsidR="00D16E6F" w:rsidRPr="007B1BDB" w:rsidRDefault="00D16E6F" w:rsidP="007B1BDB">
            <w:pPr>
              <w:autoSpaceDE w:val="0"/>
              <w:autoSpaceDN w:val="0"/>
              <w:adjustRightInd w:val="0"/>
              <w:spacing w:after="0" w:line="360" w:lineRule="auto"/>
              <w:ind w:left="60" w:right="60"/>
              <w:jc w:val="right"/>
              <w:rPr>
                <w:rFonts w:cs="Times New Roman"/>
                <w:szCs w:val="24"/>
              </w:rPr>
            </w:pPr>
            <w:r w:rsidRPr="007B1BDB">
              <w:rPr>
                <w:rFonts w:cs="Times New Roman"/>
                <w:szCs w:val="24"/>
              </w:rPr>
              <w:t>156</w:t>
            </w:r>
          </w:p>
        </w:tc>
      </w:tr>
      <w:tr w:rsidR="00174C4E" w:rsidRPr="007B1BDB" w14:paraId="15F85BB2" w14:textId="77777777" w:rsidTr="007B1BDB">
        <w:trPr>
          <w:cantSplit/>
        </w:trPr>
        <w:tc>
          <w:tcPr>
            <w:tcW w:w="5000" w:type="pct"/>
            <w:gridSpan w:val="4"/>
            <w:tcBorders>
              <w:top w:val="nil"/>
              <w:left w:val="nil"/>
              <w:bottom w:val="nil"/>
              <w:right w:val="nil"/>
            </w:tcBorders>
            <w:shd w:val="clear" w:color="auto" w:fill="auto"/>
          </w:tcPr>
          <w:p w14:paraId="73B58691" w14:textId="77777777" w:rsidR="00D16E6F" w:rsidRPr="007B1BDB" w:rsidRDefault="00D16E6F" w:rsidP="007B1BDB">
            <w:pPr>
              <w:autoSpaceDE w:val="0"/>
              <w:autoSpaceDN w:val="0"/>
              <w:adjustRightInd w:val="0"/>
              <w:spacing w:after="0" w:line="360" w:lineRule="auto"/>
              <w:ind w:left="60" w:right="60"/>
              <w:jc w:val="left"/>
              <w:rPr>
                <w:rFonts w:cs="Times New Roman"/>
                <w:szCs w:val="24"/>
              </w:rPr>
            </w:pPr>
            <w:r w:rsidRPr="007B1BDB">
              <w:rPr>
                <w:rFonts w:cs="Times New Roman"/>
                <w:szCs w:val="24"/>
              </w:rPr>
              <w:t>**. Correlation is significant at the 0.01 level (2-tailed).</w:t>
            </w:r>
          </w:p>
        </w:tc>
      </w:tr>
    </w:tbl>
    <w:p w14:paraId="341AF820" w14:textId="04A6D417" w:rsidR="00823C19" w:rsidRDefault="00823C19" w:rsidP="007B1BDB">
      <w:pPr>
        <w:spacing w:before="240" w:line="360" w:lineRule="auto"/>
      </w:pPr>
      <w:r>
        <w:t xml:space="preserve">   Fig-4.25: Correlation Analysis</w:t>
      </w:r>
    </w:p>
    <w:p w14:paraId="53748785" w14:textId="46FB5C91" w:rsidR="00591AA9" w:rsidRDefault="00174C4E" w:rsidP="007B1BDB">
      <w:pPr>
        <w:spacing w:before="240" w:line="360" w:lineRule="auto"/>
      </w:pPr>
      <w:r>
        <w:t>The data shows a positive correlation between remittance and household economy. This means as remittance amounts increase, there tends to be a corresponding increase in household economic activities. The correlation coefficient of 0.291 suggests a moderate relationship between the two variables. In practical terms, this indicates that households receiving more remittances often experience improved economic conditions. The significance level of 0.01 indicates that this relationship is very likely not due to random chance, strengthening the reliability of the findings. Overall, these results suggest that remittances play a significant role in boosting household economies, potentially influencing spending, savings, and overall financial stability within these households.</w:t>
      </w:r>
    </w:p>
    <w:p w14:paraId="33BF0CA6" w14:textId="6CB30F77" w:rsidR="00174C4E" w:rsidRPr="00174C4E" w:rsidRDefault="004C6A1B" w:rsidP="007B1BDB">
      <w:pPr>
        <w:pStyle w:val="Heading2"/>
      </w:pPr>
      <w:bookmarkStart w:id="28" w:name="_Toc171485438"/>
      <w:r>
        <w:lastRenderedPageBreak/>
        <w:t>Regression analysis</w:t>
      </w:r>
      <w:bookmarkEnd w:id="28"/>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30"/>
        <w:gridCol w:w="1455"/>
        <w:gridCol w:w="1543"/>
        <w:gridCol w:w="2088"/>
        <w:gridCol w:w="2090"/>
      </w:tblGrid>
      <w:tr w:rsidR="00174C4E" w:rsidRPr="00174C4E" w14:paraId="327E9845" w14:textId="77777777" w:rsidTr="00A2479D">
        <w:trPr>
          <w:cantSplit/>
        </w:trPr>
        <w:tc>
          <w:tcPr>
            <w:tcW w:w="5000" w:type="pct"/>
            <w:gridSpan w:val="5"/>
            <w:tcBorders>
              <w:top w:val="nil"/>
              <w:left w:val="nil"/>
              <w:bottom w:val="single" w:sz="4" w:space="0" w:color="auto"/>
              <w:right w:val="nil"/>
            </w:tcBorders>
            <w:shd w:val="clear" w:color="auto" w:fill="auto"/>
            <w:vAlign w:val="center"/>
          </w:tcPr>
          <w:p w14:paraId="435517CB"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22"/>
              </w:rPr>
            </w:pPr>
            <w:r w:rsidRPr="00174C4E">
              <w:rPr>
                <w:rFonts w:ascii="Arial" w:hAnsi="Arial" w:cs="Arial"/>
                <w:b/>
                <w:bCs/>
                <w:sz w:val="22"/>
              </w:rPr>
              <w:t>Model Summary</w:t>
            </w:r>
          </w:p>
        </w:tc>
      </w:tr>
      <w:tr w:rsidR="00174C4E" w:rsidRPr="00174C4E" w14:paraId="149945C1" w14:textId="77777777" w:rsidTr="00A2479D">
        <w:trPr>
          <w:cantSplit/>
        </w:trPr>
        <w:tc>
          <w:tcPr>
            <w:tcW w:w="680" w:type="pct"/>
            <w:tcBorders>
              <w:top w:val="single" w:sz="4" w:space="0" w:color="auto"/>
              <w:left w:val="nil"/>
              <w:bottom w:val="single" w:sz="8" w:space="0" w:color="152935"/>
              <w:right w:val="nil"/>
            </w:tcBorders>
            <w:shd w:val="clear" w:color="auto" w:fill="auto"/>
            <w:vAlign w:val="bottom"/>
          </w:tcPr>
          <w:p w14:paraId="3DA45A85" w14:textId="77777777" w:rsidR="00174C4E" w:rsidRPr="00174C4E" w:rsidRDefault="00174C4E" w:rsidP="007B1BDB">
            <w:pPr>
              <w:autoSpaceDE w:val="0"/>
              <w:autoSpaceDN w:val="0"/>
              <w:adjustRightInd w:val="0"/>
              <w:spacing w:after="0" w:line="360" w:lineRule="auto"/>
              <w:ind w:left="60" w:right="60"/>
              <w:jc w:val="left"/>
              <w:rPr>
                <w:rFonts w:ascii="Arial" w:hAnsi="Arial" w:cs="Arial"/>
                <w:sz w:val="18"/>
                <w:szCs w:val="18"/>
              </w:rPr>
            </w:pPr>
            <w:r w:rsidRPr="00174C4E">
              <w:rPr>
                <w:rFonts w:ascii="Arial" w:hAnsi="Arial" w:cs="Arial"/>
                <w:sz w:val="18"/>
                <w:szCs w:val="18"/>
              </w:rPr>
              <w:t>Model</w:t>
            </w:r>
          </w:p>
        </w:tc>
        <w:tc>
          <w:tcPr>
            <w:tcW w:w="876" w:type="pct"/>
            <w:tcBorders>
              <w:top w:val="single" w:sz="4" w:space="0" w:color="auto"/>
              <w:left w:val="nil"/>
              <w:bottom w:val="single" w:sz="8" w:space="0" w:color="152935"/>
              <w:right w:val="single" w:sz="8" w:space="0" w:color="E0E0E0"/>
            </w:tcBorders>
            <w:shd w:val="clear" w:color="auto" w:fill="auto"/>
            <w:vAlign w:val="bottom"/>
          </w:tcPr>
          <w:p w14:paraId="653176C8"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R</w:t>
            </w:r>
          </w:p>
        </w:tc>
        <w:tc>
          <w:tcPr>
            <w:tcW w:w="929" w:type="pct"/>
            <w:tcBorders>
              <w:top w:val="single" w:sz="4" w:space="0" w:color="auto"/>
              <w:left w:val="single" w:sz="8" w:space="0" w:color="E0E0E0"/>
              <w:bottom w:val="single" w:sz="8" w:space="0" w:color="152935"/>
              <w:right w:val="single" w:sz="8" w:space="0" w:color="E0E0E0"/>
            </w:tcBorders>
            <w:shd w:val="clear" w:color="auto" w:fill="auto"/>
            <w:vAlign w:val="bottom"/>
          </w:tcPr>
          <w:p w14:paraId="35A6C806"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R Square</w:t>
            </w:r>
          </w:p>
        </w:tc>
        <w:tc>
          <w:tcPr>
            <w:tcW w:w="1257" w:type="pct"/>
            <w:tcBorders>
              <w:top w:val="single" w:sz="4" w:space="0" w:color="auto"/>
              <w:left w:val="single" w:sz="8" w:space="0" w:color="E0E0E0"/>
              <w:bottom w:val="single" w:sz="8" w:space="0" w:color="152935"/>
              <w:right w:val="single" w:sz="8" w:space="0" w:color="E0E0E0"/>
            </w:tcBorders>
            <w:shd w:val="clear" w:color="auto" w:fill="auto"/>
            <w:vAlign w:val="bottom"/>
          </w:tcPr>
          <w:p w14:paraId="5A546133"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Adjusted R Square</w:t>
            </w:r>
          </w:p>
        </w:tc>
        <w:tc>
          <w:tcPr>
            <w:tcW w:w="1257" w:type="pct"/>
            <w:tcBorders>
              <w:top w:val="single" w:sz="4" w:space="0" w:color="auto"/>
              <w:left w:val="single" w:sz="8" w:space="0" w:color="E0E0E0"/>
              <w:bottom w:val="single" w:sz="8" w:space="0" w:color="152935"/>
              <w:right w:val="nil"/>
            </w:tcBorders>
            <w:shd w:val="clear" w:color="auto" w:fill="auto"/>
            <w:vAlign w:val="bottom"/>
          </w:tcPr>
          <w:p w14:paraId="7221C541"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Std. Error of the Estimate</w:t>
            </w:r>
          </w:p>
        </w:tc>
      </w:tr>
      <w:tr w:rsidR="00174C4E" w:rsidRPr="00174C4E" w14:paraId="0FAEA7AC" w14:textId="77777777" w:rsidTr="00A2479D">
        <w:trPr>
          <w:cantSplit/>
        </w:trPr>
        <w:tc>
          <w:tcPr>
            <w:tcW w:w="680" w:type="pct"/>
            <w:tcBorders>
              <w:top w:val="single" w:sz="8" w:space="0" w:color="152935"/>
              <w:left w:val="nil"/>
              <w:bottom w:val="single" w:sz="8" w:space="0" w:color="152935"/>
              <w:right w:val="nil"/>
            </w:tcBorders>
            <w:shd w:val="clear" w:color="auto" w:fill="auto"/>
          </w:tcPr>
          <w:p w14:paraId="5715A965" w14:textId="77777777" w:rsidR="00174C4E" w:rsidRPr="00174C4E" w:rsidRDefault="00174C4E" w:rsidP="007B1BDB">
            <w:pPr>
              <w:autoSpaceDE w:val="0"/>
              <w:autoSpaceDN w:val="0"/>
              <w:adjustRightInd w:val="0"/>
              <w:spacing w:after="0" w:line="360" w:lineRule="auto"/>
              <w:ind w:left="60" w:right="60"/>
              <w:jc w:val="left"/>
              <w:rPr>
                <w:rFonts w:ascii="Arial" w:hAnsi="Arial" w:cs="Arial"/>
                <w:sz w:val="18"/>
                <w:szCs w:val="18"/>
              </w:rPr>
            </w:pPr>
            <w:r w:rsidRPr="00174C4E">
              <w:rPr>
                <w:rFonts w:ascii="Arial" w:hAnsi="Arial" w:cs="Arial"/>
                <w:sz w:val="18"/>
                <w:szCs w:val="18"/>
              </w:rPr>
              <w:t>1</w:t>
            </w:r>
          </w:p>
        </w:tc>
        <w:tc>
          <w:tcPr>
            <w:tcW w:w="876" w:type="pct"/>
            <w:tcBorders>
              <w:top w:val="single" w:sz="8" w:space="0" w:color="152935"/>
              <w:left w:val="nil"/>
              <w:bottom w:val="single" w:sz="8" w:space="0" w:color="152935"/>
              <w:right w:val="single" w:sz="8" w:space="0" w:color="E0E0E0"/>
            </w:tcBorders>
            <w:shd w:val="clear" w:color="auto" w:fill="auto"/>
          </w:tcPr>
          <w:p w14:paraId="75106EF1"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.291</w:t>
            </w:r>
            <w:r w:rsidRPr="00174C4E">
              <w:rPr>
                <w:rFonts w:ascii="Arial" w:hAnsi="Arial" w:cs="Arial"/>
                <w:sz w:val="18"/>
                <w:szCs w:val="18"/>
                <w:vertAlign w:val="superscript"/>
              </w:rPr>
              <w:t>a</w:t>
            </w:r>
          </w:p>
        </w:tc>
        <w:tc>
          <w:tcPr>
            <w:tcW w:w="929" w:type="pct"/>
            <w:tcBorders>
              <w:top w:val="single" w:sz="8" w:space="0" w:color="152935"/>
              <w:left w:val="single" w:sz="8" w:space="0" w:color="E0E0E0"/>
              <w:bottom w:val="single" w:sz="8" w:space="0" w:color="152935"/>
              <w:right w:val="single" w:sz="8" w:space="0" w:color="E0E0E0"/>
            </w:tcBorders>
            <w:shd w:val="clear" w:color="auto" w:fill="auto"/>
          </w:tcPr>
          <w:p w14:paraId="127CF8EF"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.085</w:t>
            </w:r>
          </w:p>
        </w:tc>
        <w:tc>
          <w:tcPr>
            <w:tcW w:w="1257" w:type="pct"/>
            <w:tcBorders>
              <w:top w:val="single" w:sz="8" w:space="0" w:color="152935"/>
              <w:left w:val="single" w:sz="8" w:space="0" w:color="E0E0E0"/>
              <w:bottom w:val="single" w:sz="8" w:space="0" w:color="152935"/>
              <w:right w:val="single" w:sz="8" w:space="0" w:color="E0E0E0"/>
            </w:tcBorders>
            <w:shd w:val="clear" w:color="auto" w:fill="auto"/>
          </w:tcPr>
          <w:p w14:paraId="5F669328"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.079</w:t>
            </w:r>
          </w:p>
        </w:tc>
        <w:tc>
          <w:tcPr>
            <w:tcW w:w="1257" w:type="pct"/>
            <w:tcBorders>
              <w:top w:val="single" w:sz="8" w:space="0" w:color="152935"/>
              <w:left w:val="single" w:sz="8" w:space="0" w:color="E0E0E0"/>
              <w:bottom w:val="single" w:sz="8" w:space="0" w:color="152935"/>
              <w:right w:val="nil"/>
            </w:tcBorders>
            <w:shd w:val="clear" w:color="auto" w:fill="auto"/>
          </w:tcPr>
          <w:p w14:paraId="7D28576B"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.62724</w:t>
            </w:r>
          </w:p>
        </w:tc>
      </w:tr>
      <w:tr w:rsidR="00174C4E" w:rsidRPr="00174C4E" w14:paraId="0B79216B" w14:textId="77777777" w:rsidTr="00A2479D">
        <w:trPr>
          <w:cantSplit/>
        </w:trPr>
        <w:tc>
          <w:tcPr>
            <w:tcW w:w="5000" w:type="pct"/>
            <w:gridSpan w:val="5"/>
            <w:tcBorders>
              <w:top w:val="nil"/>
              <w:left w:val="nil"/>
              <w:bottom w:val="nil"/>
              <w:right w:val="nil"/>
            </w:tcBorders>
            <w:shd w:val="clear" w:color="auto" w:fill="auto"/>
          </w:tcPr>
          <w:p w14:paraId="3A633871" w14:textId="77777777" w:rsidR="00174C4E" w:rsidRPr="00174C4E" w:rsidRDefault="00174C4E" w:rsidP="007B1BDB">
            <w:pPr>
              <w:autoSpaceDE w:val="0"/>
              <w:autoSpaceDN w:val="0"/>
              <w:adjustRightInd w:val="0"/>
              <w:spacing w:after="0" w:line="360" w:lineRule="auto"/>
              <w:ind w:left="60" w:right="60"/>
              <w:jc w:val="left"/>
              <w:rPr>
                <w:rFonts w:ascii="Arial" w:hAnsi="Arial" w:cs="Arial"/>
                <w:sz w:val="18"/>
                <w:szCs w:val="18"/>
              </w:rPr>
            </w:pPr>
            <w:r w:rsidRPr="00174C4E">
              <w:rPr>
                <w:rFonts w:ascii="Arial" w:hAnsi="Arial" w:cs="Arial"/>
                <w:sz w:val="18"/>
                <w:szCs w:val="18"/>
              </w:rPr>
              <w:t>a. Predictors: (Constant), Remittance</w:t>
            </w:r>
          </w:p>
        </w:tc>
      </w:tr>
    </w:tbl>
    <w:p w14:paraId="5433949A" w14:textId="427EAD32" w:rsidR="00823C19" w:rsidRDefault="00823C19" w:rsidP="007B1BDB">
      <w:pPr>
        <w:autoSpaceDE w:val="0"/>
        <w:autoSpaceDN w:val="0"/>
        <w:adjustRightInd w:val="0"/>
        <w:spacing w:before="240" w:after="0" w:line="360" w:lineRule="auto"/>
        <w:rPr>
          <w:rFonts w:cs="Times New Roman"/>
          <w:color w:val="auto"/>
          <w:szCs w:val="24"/>
        </w:rPr>
      </w:pPr>
      <w:r>
        <w:rPr>
          <w:rFonts w:cs="Times New Roman"/>
          <w:color w:val="auto"/>
          <w:szCs w:val="24"/>
        </w:rPr>
        <w:t xml:space="preserve">    Fig-4.26: Regression analysis</w:t>
      </w:r>
    </w:p>
    <w:p w14:paraId="1A0FF8C8" w14:textId="0F2331A1" w:rsidR="00174C4E" w:rsidRPr="00174C4E" w:rsidRDefault="00174C4E" w:rsidP="007B1BDB">
      <w:pPr>
        <w:autoSpaceDE w:val="0"/>
        <w:autoSpaceDN w:val="0"/>
        <w:adjustRightInd w:val="0"/>
        <w:spacing w:before="240" w:after="0" w:line="360" w:lineRule="auto"/>
        <w:rPr>
          <w:rFonts w:cs="Times New Roman"/>
          <w:color w:val="auto"/>
          <w:szCs w:val="24"/>
        </w:rPr>
      </w:pPr>
      <w:r w:rsidRPr="00174C4E">
        <w:rPr>
          <w:rFonts w:cs="Times New Roman"/>
          <w:color w:val="auto"/>
          <w:szCs w:val="24"/>
        </w:rPr>
        <w:t>The model summary indicates that remittance (the predictor variable) explains a significant portion of the variance in household economy (the dependent variable). The correlation coefficient (R) of 0.291 suggests a moderate positive relationship between remittance and household economy. About 8.5% of the variability in household economy can be explained by remittance alone, as indicated by the R Square value of 0.085. The Adjusted R Square (0.079) adjusts for the number of predictors in the model, providing a more conservative estimate of how well remittance predicts household economy. The standard error of the estimate (0.62724) reflects the accuracy of predictions made by the model, indicating the average distance that the observed values fall from the regression line. Overall, while remittance is a significant predictor of household economy, other factors not included in this model may also influence household economic outcomes.</w:t>
      </w: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174C4E" w:rsidRPr="00174C4E" w14:paraId="5759C86C" w14:textId="77777777" w:rsidTr="00174C4E">
        <w:trPr>
          <w:cantSplit/>
        </w:trPr>
        <w:tc>
          <w:tcPr>
            <w:tcW w:w="7969" w:type="dxa"/>
            <w:gridSpan w:val="7"/>
            <w:tcBorders>
              <w:top w:val="nil"/>
              <w:left w:val="nil"/>
              <w:bottom w:val="nil"/>
              <w:right w:val="nil"/>
            </w:tcBorders>
            <w:shd w:val="clear" w:color="auto" w:fill="auto"/>
            <w:vAlign w:val="center"/>
          </w:tcPr>
          <w:p w14:paraId="143F317A" w14:textId="77777777" w:rsidR="00174C4E" w:rsidRPr="00174C4E" w:rsidRDefault="00174C4E" w:rsidP="007B1BDB">
            <w:pPr>
              <w:spacing w:before="240" w:line="360" w:lineRule="auto"/>
              <w:jc w:val="center"/>
            </w:pPr>
            <w:proofErr w:type="spellStart"/>
            <w:r w:rsidRPr="007B1BDB">
              <w:rPr>
                <w:b/>
                <w:bCs/>
              </w:rPr>
              <w:t>ANOVA</w:t>
            </w:r>
            <w:r w:rsidRPr="007B1BDB">
              <w:rPr>
                <w:b/>
                <w:bCs/>
                <w:vertAlign w:val="superscript"/>
              </w:rPr>
              <w:t>a</w:t>
            </w:r>
            <w:proofErr w:type="spellEnd"/>
          </w:p>
        </w:tc>
      </w:tr>
      <w:tr w:rsidR="00174C4E" w:rsidRPr="00174C4E" w14:paraId="53F63986" w14:textId="77777777" w:rsidTr="00174C4E">
        <w:trPr>
          <w:cantSplit/>
        </w:trPr>
        <w:tc>
          <w:tcPr>
            <w:tcW w:w="2017" w:type="dxa"/>
            <w:gridSpan w:val="2"/>
            <w:tcBorders>
              <w:top w:val="nil"/>
              <w:left w:val="nil"/>
              <w:bottom w:val="single" w:sz="8" w:space="0" w:color="152935"/>
              <w:right w:val="nil"/>
            </w:tcBorders>
            <w:shd w:val="clear" w:color="auto" w:fill="auto"/>
            <w:vAlign w:val="bottom"/>
          </w:tcPr>
          <w:p w14:paraId="2A6AAC6E" w14:textId="77777777" w:rsidR="00174C4E" w:rsidRPr="00174C4E" w:rsidRDefault="00174C4E" w:rsidP="007B1BDB">
            <w:pPr>
              <w:autoSpaceDE w:val="0"/>
              <w:autoSpaceDN w:val="0"/>
              <w:adjustRightInd w:val="0"/>
              <w:spacing w:before="240" w:after="0" w:line="360" w:lineRule="auto"/>
              <w:ind w:left="60" w:right="60"/>
              <w:jc w:val="left"/>
              <w:rPr>
                <w:rFonts w:ascii="Arial" w:hAnsi="Arial" w:cs="Arial"/>
                <w:sz w:val="18"/>
                <w:szCs w:val="18"/>
              </w:rPr>
            </w:pPr>
            <w:r w:rsidRPr="00174C4E">
              <w:rPr>
                <w:rFonts w:ascii="Arial" w:hAnsi="Arial" w:cs="Arial"/>
                <w:sz w:val="18"/>
                <w:szCs w:val="18"/>
              </w:rPr>
              <w:t>Model</w:t>
            </w:r>
          </w:p>
        </w:tc>
        <w:tc>
          <w:tcPr>
            <w:tcW w:w="1469" w:type="dxa"/>
            <w:tcBorders>
              <w:top w:val="nil"/>
              <w:left w:val="nil"/>
              <w:bottom w:val="single" w:sz="8" w:space="0" w:color="152935"/>
              <w:right w:val="single" w:sz="8" w:space="0" w:color="E0E0E0"/>
            </w:tcBorders>
            <w:shd w:val="clear" w:color="auto" w:fill="auto"/>
            <w:vAlign w:val="bottom"/>
          </w:tcPr>
          <w:p w14:paraId="5965BF97" w14:textId="77777777" w:rsidR="00174C4E" w:rsidRPr="00174C4E" w:rsidRDefault="00174C4E" w:rsidP="007B1BDB">
            <w:pPr>
              <w:autoSpaceDE w:val="0"/>
              <w:autoSpaceDN w:val="0"/>
              <w:adjustRightInd w:val="0"/>
              <w:spacing w:before="240" w:after="0" w:line="360" w:lineRule="auto"/>
              <w:ind w:left="60" w:right="60"/>
              <w:jc w:val="center"/>
              <w:rPr>
                <w:rFonts w:ascii="Arial" w:hAnsi="Arial" w:cs="Arial"/>
                <w:sz w:val="18"/>
                <w:szCs w:val="18"/>
              </w:rPr>
            </w:pPr>
            <w:r w:rsidRPr="00174C4E">
              <w:rPr>
                <w:rFonts w:ascii="Arial" w:hAnsi="Arial" w:cs="Arial"/>
                <w:sz w:val="18"/>
                <w:szCs w:val="18"/>
              </w:rPr>
              <w:t>Sum of Squares</w:t>
            </w:r>
          </w:p>
        </w:tc>
        <w:tc>
          <w:tcPr>
            <w:tcW w:w="1025" w:type="dxa"/>
            <w:tcBorders>
              <w:top w:val="nil"/>
              <w:left w:val="single" w:sz="8" w:space="0" w:color="E0E0E0"/>
              <w:bottom w:val="single" w:sz="8" w:space="0" w:color="152935"/>
              <w:right w:val="single" w:sz="8" w:space="0" w:color="E0E0E0"/>
            </w:tcBorders>
            <w:shd w:val="clear" w:color="auto" w:fill="auto"/>
            <w:vAlign w:val="bottom"/>
          </w:tcPr>
          <w:p w14:paraId="2F73F692" w14:textId="77777777" w:rsidR="00174C4E" w:rsidRPr="00174C4E" w:rsidRDefault="00174C4E" w:rsidP="007B1BDB">
            <w:pPr>
              <w:autoSpaceDE w:val="0"/>
              <w:autoSpaceDN w:val="0"/>
              <w:adjustRightInd w:val="0"/>
              <w:spacing w:before="240" w:after="0" w:line="360" w:lineRule="auto"/>
              <w:ind w:left="60" w:right="60"/>
              <w:jc w:val="center"/>
              <w:rPr>
                <w:rFonts w:ascii="Arial" w:hAnsi="Arial" w:cs="Arial"/>
                <w:sz w:val="18"/>
                <w:szCs w:val="18"/>
              </w:rPr>
            </w:pPr>
            <w:proofErr w:type="spellStart"/>
            <w:r w:rsidRPr="00174C4E">
              <w:rPr>
                <w:rFonts w:ascii="Arial" w:hAnsi="Arial" w:cs="Arial"/>
                <w:sz w:val="18"/>
                <w:szCs w:val="18"/>
              </w:rPr>
              <w:t>df</w:t>
            </w:r>
            <w:proofErr w:type="spellEnd"/>
          </w:p>
        </w:tc>
        <w:tc>
          <w:tcPr>
            <w:tcW w:w="1408" w:type="dxa"/>
            <w:tcBorders>
              <w:top w:val="nil"/>
              <w:left w:val="single" w:sz="8" w:space="0" w:color="E0E0E0"/>
              <w:bottom w:val="single" w:sz="8" w:space="0" w:color="152935"/>
              <w:right w:val="single" w:sz="8" w:space="0" w:color="E0E0E0"/>
            </w:tcBorders>
            <w:shd w:val="clear" w:color="auto" w:fill="auto"/>
            <w:vAlign w:val="bottom"/>
          </w:tcPr>
          <w:p w14:paraId="0EC71C67" w14:textId="77777777" w:rsidR="00174C4E" w:rsidRPr="00174C4E" w:rsidRDefault="00174C4E" w:rsidP="007B1BDB">
            <w:pPr>
              <w:autoSpaceDE w:val="0"/>
              <w:autoSpaceDN w:val="0"/>
              <w:adjustRightInd w:val="0"/>
              <w:spacing w:before="240" w:after="0" w:line="360" w:lineRule="auto"/>
              <w:ind w:left="60" w:right="60"/>
              <w:jc w:val="center"/>
              <w:rPr>
                <w:rFonts w:ascii="Arial" w:hAnsi="Arial" w:cs="Arial"/>
                <w:sz w:val="18"/>
                <w:szCs w:val="18"/>
              </w:rPr>
            </w:pPr>
            <w:r w:rsidRPr="00174C4E">
              <w:rPr>
                <w:rFonts w:ascii="Arial" w:hAnsi="Arial" w:cs="Arial"/>
                <w:sz w:val="18"/>
                <w:szCs w:val="18"/>
              </w:rPr>
              <w:t>Mean Square</w:t>
            </w:r>
          </w:p>
        </w:tc>
        <w:tc>
          <w:tcPr>
            <w:tcW w:w="1025" w:type="dxa"/>
            <w:tcBorders>
              <w:top w:val="nil"/>
              <w:left w:val="single" w:sz="8" w:space="0" w:color="E0E0E0"/>
              <w:bottom w:val="single" w:sz="8" w:space="0" w:color="152935"/>
              <w:right w:val="single" w:sz="8" w:space="0" w:color="E0E0E0"/>
            </w:tcBorders>
            <w:shd w:val="clear" w:color="auto" w:fill="auto"/>
            <w:vAlign w:val="bottom"/>
          </w:tcPr>
          <w:p w14:paraId="07995B56" w14:textId="77777777" w:rsidR="00174C4E" w:rsidRPr="00174C4E" w:rsidRDefault="00174C4E" w:rsidP="007B1BDB">
            <w:pPr>
              <w:autoSpaceDE w:val="0"/>
              <w:autoSpaceDN w:val="0"/>
              <w:adjustRightInd w:val="0"/>
              <w:spacing w:before="240" w:after="0" w:line="360" w:lineRule="auto"/>
              <w:ind w:left="60" w:right="60"/>
              <w:jc w:val="center"/>
              <w:rPr>
                <w:rFonts w:ascii="Arial" w:hAnsi="Arial" w:cs="Arial"/>
                <w:sz w:val="18"/>
                <w:szCs w:val="18"/>
              </w:rPr>
            </w:pPr>
            <w:r w:rsidRPr="00174C4E">
              <w:rPr>
                <w:rFonts w:ascii="Arial" w:hAnsi="Arial" w:cs="Arial"/>
                <w:sz w:val="18"/>
                <w:szCs w:val="18"/>
              </w:rPr>
              <w:t>F</w:t>
            </w:r>
          </w:p>
        </w:tc>
        <w:tc>
          <w:tcPr>
            <w:tcW w:w="1025" w:type="dxa"/>
            <w:tcBorders>
              <w:top w:val="nil"/>
              <w:left w:val="single" w:sz="8" w:space="0" w:color="E0E0E0"/>
              <w:bottom w:val="single" w:sz="8" w:space="0" w:color="152935"/>
              <w:right w:val="nil"/>
            </w:tcBorders>
            <w:shd w:val="clear" w:color="auto" w:fill="auto"/>
            <w:vAlign w:val="bottom"/>
          </w:tcPr>
          <w:p w14:paraId="2151A366" w14:textId="77777777" w:rsidR="00174C4E" w:rsidRPr="00174C4E" w:rsidRDefault="00174C4E" w:rsidP="007B1BDB">
            <w:pPr>
              <w:autoSpaceDE w:val="0"/>
              <w:autoSpaceDN w:val="0"/>
              <w:adjustRightInd w:val="0"/>
              <w:spacing w:before="240" w:after="0" w:line="360" w:lineRule="auto"/>
              <w:ind w:left="60" w:right="60"/>
              <w:jc w:val="center"/>
              <w:rPr>
                <w:rFonts w:ascii="Arial" w:hAnsi="Arial" w:cs="Arial"/>
                <w:sz w:val="18"/>
                <w:szCs w:val="18"/>
              </w:rPr>
            </w:pPr>
            <w:r w:rsidRPr="00174C4E">
              <w:rPr>
                <w:rFonts w:ascii="Arial" w:hAnsi="Arial" w:cs="Arial"/>
                <w:sz w:val="18"/>
                <w:szCs w:val="18"/>
              </w:rPr>
              <w:t>Sig.</w:t>
            </w:r>
          </w:p>
        </w:tc>
      </w:tr>
      <w:tr w:rsidR="00174C4E" w:rsidRPr="00174C4E" w14:paraId="76ABBCC7" w14:textId="77777777" w:rsidTr="00174C4E">
        <w:trPr>
          <w:cantSplit/>
        </w:trPr>
        <w:tc>
          <w:tcPr>
            <w:tcW w:w="733" w:type="dxa"/>
            <w:vMerge w:val="restart"/>
            <w:tcBorders>
              <w:top w:val="single" w:sz="8" w:space="0" w:color="152935"/>
              <w:left w:val="nil"/>
              <w:bottom w:val="single" w:sz="8" w:space="0" w:color="152935"/>
              <w:right w:val="nil"/>
            </w:tcBorders>
            <w:shd w:val="clear" w:color="auto" w:fill="auto"/>
          </w:tcPr>
          <w:p w14:paraId="2809AFBC" w14:textId="77777777" w:rsidR="00174C4E" w:rsidRPr="00174C4E" w:rsidRDefault="00174C4E" w:rsidP="007B1BDB">
            <w:pPr>
              <w:autoSpaceDE w:val="0"/>
              <w:autoSpaceDN w:val="0"/>
              <w:adjustRightInd w:val="0"/>
              <w:spacing w:before="240" w:after="0" w:line="360" w:lineRule="auto"/>
              <w:ind w:left="60" w:right="60"/>
              <w:jc w:val="left"/>
              <w:rPr>
                <w:rFonts w:ascii="Arial" w:hAnsi="Arial" w:cs="Arial"/>
                <w:sz w:val="18"/>
                <w:szCs w:val="18"/>
              </w:rPr>
            </w:pPr>
            <w:r w:rsidRPr="00174C4E">
              <w:rPr>
                <w:rFonts w:ascii="Arial" w:hAnsi="Arial" w:cs="Arial"/>
                <w:sz w:val="18"/>
                <w:szCs w:val="18"/>
              </w:rPr>
              <w:t>1</w:t>
            </w:r>
          </w:p>
        </w:tc>
        <w:tc>
          <w:tcPr>
            <w:tcW w:w="1284" w:type="dxa"/>
            <w:tcBorders>
              <w:top w:val="single" w:sz="8" w:space="0" w:color="152935"/>
              <w:left w:val="nil"/>
              <w:bottom w:val="single" w:sz="8" w:space="0" w:color="AEAEAE"/>
              <w:right w:val="nil"/>
            </w:tcBorders>
            <w:shd w:val="clear" w:color="auto" w:fill="auto"/>
          </w:tcPr>
          <w:p w14:paraId="16A781E9" w14:textId="77777777" w:rsidR="00174C4E" w:rsidRPr="00174C4E" w:rsidRDefault="00174C4E" w:rsidP="007B1BDB">
            <w:pPr>
              <w:autoSpaceDE w:val="0"/>
              <w:autoSpaceDN w:val="0"/>
              <w:adjustRightInd w:val="0"/>
              <w:spacing w:before="240" w:after="0" w:line="360" w:lineRule="auto"/>
              <w:ind w:left="60" w:right="60"/>
              <w:jc w:val="left"/>
              <w:rPr>
                <w:rFonts w:ascii="Arial" w:hAnsi="Arial" w:cs="Arial"/>
                <w:sz w:val="18"/>
                <w:szCs w:val="18"/>
              </w:rPr>
            </w:pPr>
            <w:r w:rsidRPr="00174C4E">
              <w:rPr>
                <w:rFonts w:ascii="Arial" w:hAnsi="Arial" w:cs="Arial"/>
                <w:sz w:val="18"/>
                <w:szCs w:val="18"/>
              </w:rPr>
              <w:t>Regression</w:t>
            </w:r>
          </w:p>
        </w:tc>
        <w:tc>
          <w:tcPr>
            <w:tcW w:w="1469" w:type="dxa"/>
            <w:tcBorders>
              <w:top w:val="single" w:sz="8" w:space="0" w:color="152935"/>
              <w:left w:val="nil"/>
              <w:bottom w:val="single" w:sz="8" w:space="0" w:color="AEAEAE"/>
              <w:right w:val="single" w:sz="8" w:space="0" w:color="E0E0E0"/>
            </w:tcBorders>
            <w:shd w:val="clear" w:color="auto" w:fill="auto"/>
          </w:tcPr>
          <w:p w14:paraId="332F8D7B"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5.595</w:t>
            </w:r>
          </w:p>
        </w:tc>
        <w:tc>
          <w:tcPr>
            <w:tcW w:w="1025" w:type="dxa"/>
            <w:tcBorders>
              <w:top w:val="single" w:sz="8" w:space="0" w:color="152935"/>
              <w:left w:val="single" w:sz="8" w:space="0" w:color="E0E0E0"/>
              <w:bottom w:val="single" w:sz="8" w:space="0" w:color="AEAEAE"/>
              <w:right w:val="single" w:sz="8" w:space="0" w:color="E0E0E0"/>
            </w:tcBorders>
            <w:shd w:val="clear" w:color="auto" w:fill="auto"/>
          </w:tcPr>
          <w:p w14:paraId="42536640"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auto"/>
          </w:tcPr>
          <w:p w14:paraId="1486726E"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5.595</w:t>
            </w:r>
          </w:p>
        </w:tc>
        <w:tc>
          <w:tcPr>
            <w:tcW w:w="1025" w:type="dxa"/>
            <w:tcBorders>
              <w:top w:val="single" w:sz="8" w:space="0" w:color="152935"/>
              <w:left w:val="single" w:sz="8" w:space="0" w:color="E0E0E0"/>
              <w:bottom w:val="single" w:sz="8" w:space="0" w:color="AEAEAE"/>
              <w:right w:val="single" w:sz="8" w:space="0" w:color="E0E0E0"/>
            </w:tcBorders>
            <w:shd w:val="clear" w:color="auto" w:fill="auto"/>
          </w:tcPr>
          <w:p w14:paraId="04E09CE3"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14.222</w:t>
            </w:r>
          </w:p>
        </w:tc>
        <w:tc>
          <w:tcPr>
            <w:tcW w:w="1025" w:type="dxa"/>
            <w:tcBorders>
              <w:top w:val="single" w:sz="8" w:space="0" w:color="152935"/>
              <w:left w:val="single" w:sz="8" w:space="0" w:color="E0E0E0"/>
              <w:bottom w:val="single" w:sz="8" w:space="0" w:color="AEAEAE"/>
              <w:right w:val="nil"/>
            </w:tcBorders>
            <w:shd w:val="clear" w:color="auto" w:fill="auto"/>
          </w:tcPr>
          <w:p w14:paraId="37EF6969"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.000</w:t>
            </w:r>
            <w:r w:rsidRPr="00174C4E">
              <w:rPr>
                <w:rFonts w:ascii="Arial" w:hAnsi="Arial" w:cs="Arial"/>
                <w:sz w:val="18"/>
                <w:szCs w:val="18"/>
                <w:vertAlign w:val="superscript"/>
              </w:rPr>
              <w:t>b</w:t>
            </w:r>
          </w:p>
        </w:tc>
      </w:tr>
      <w:tr w:rsidR="00174C4E" w:rsidRPr="00174C4E" w14:paraId="3A4B085E" w14:textId="77777777" w:rsidTr="00174C4E">
        <w:trPr>
          <w:cantSplit/>
        </w:trPr>
        <w:tc>
          <w:tcPr>
            <w:tcW w:w="733" w:type="dxa"/>
            <w:vMerge/>
            <w:tcBorders>
              <w:top w:val="single" w:sz="8" w:space="0" w:color="152935"/>
              <w:left w:val="nil"/>
              <w:bottom w:val="single" w:sz="8" w:space="0" w:color="152935"/>
              <w:right w:val="nil"/>
            </w:tcBorders>
            <w:shd w:val="clear" w:color="auto" w:fill="auto"/>
          </w:tcPr>
          <w:p w14:paraId="3576241E" w14:textId="77777777" w:rsidR="00174C4E" w:rsidRPr="00174C4E" w:rsidRDefault="00174C4E" w:rsidP="007B1BDB">
            <w:pPr>
              <w:autoSpaceDE w:val="0"/>
              <w:autoSpaceDN w:val="0"/>
              <w:adjustRightInd w:val="0"/>
              <w:spacing w:before="240" w:after="0" w:line="360" w:lineRule="auto"/>
              <w:jc w:val="left"/>
              <w:rPr>
                <w:rFonts w:ascii="Arial" w:hAnsi="Arial" w:cs="Arial"/>
                <w:sz w:val="18"/>
                <w:szCs w:val="18"/>
              </w:rPr>
            </w:pPr>
          </w:p>
        </w:tc>
        <w:tc>
          <w:tcPr>
            <w:tcW w:w="1284" w:type="dxa"/>
            <w:tcBorders>
              <w:top w:val="single" w:sz="8" w:space="0" w:color="AEAEAE"/>
              <w:left w:val="nil"/>
              <w:bottom w:val="single" w:sz="8" w:space="0" w:color="AEAEAE"/>
              <w:right w:val="nil"/>
            </w:tcBorders>
            <w:shd w:val="clear" w:color="auto" w:fill="auto"/>
          </w:tcPr>
          <w:p w14:paraId="10545643" w14:textId="77777777" w:rsidR="00174C4E" w:rsidRPr="00174C4E" w:rsidRDefault="00174C4E" w:rsidP="007B1BDB">
            <w:pPr>
              <w:autoSpaceDE w:val="0"/>
              <w:autoSpaceDN w:val="0"/>
              <w:adjustRightInd w:val="0"/>
              <w:spacing w:before="240" w:after="0" w:line="360" w:lineRule="auto"/>
              <w:ind w:left="60" w:right="60"/>
              <w:jc w:val="left"/>
              <w:rPr>
                <w:rFonts w:ascii="Arial" w:hAnsi="Arial" w:cs="Arial"/>
                <w:sz w:val="18"/>
                <w:szCs w:val="18"/>
              </w:rPr>
            </w:pPr>
            <w:r w:rsidRPr="00174C4E">
              <w:rPr>
                <w:rFonts w:ascii="Arial" w:hAnsi="Arial" w:cs="Arial"/>
                <w:sz w:val="18"/>
                <w:szCs w:val="18"/>
              </w:rPr>
              <w:t>Residual</w:t>
            </w:r>
          </w:p>
        </w:tc>
        <w:tc>
          <w:tcPr>
            <w:tcW w:w="1469" w:type="dxa"/>
            <w:tcBorders>
              <w:top w:val="single" w:sz="8" w:space="0" w:color="AEAEAE"/>
              <w:left w:val="nil"/>
              <w:bottom w:val="single" w:sz="8" w:space="0" w:color="AEAEAE"/>
              <w:right w:val="single" w:sz="8" w:space="0" w:color="E0E0E0"/>
            </w:tcBorders>
            <w:shd w:val="clear" w:color="auto" w:fill="auto"/>
          </w:tcPr>
          <w:p w14:paraId="0E7E0722"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60.588</w:t>
            </w:r>
          </w:p>
        </w:tc>
        <w:tc>
          <w:tcPr>
            <w:tcW w:w="1025" w:type="dxa"/>
            <w:tcBorders>
              <w:top w:val="single" w:sz="8" w:space="0" w:color="AEAEAE"/>
              <w:left w:val="single" w:sz="8" w:space="0" w:color="E0E0E0"/>
              <w:bottom w:val="single" w:sz="8" w:space="0" w:color="AEAEAE"/>
              <w:right w:val="single" w:sz="8" w:space="0" w:color="E0E0E0"/>
            </w:tcBorders>
            <w:shd w:val="clear" w:color="auto" w:fill="auto"/>
          </w:tcPr>
          <w:p w14:paraId="13E45F13"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154</w:t>
            </w:r>
          </w:p>
        </w:tc>
        <w:tc>
          <w:tcPr>
            <w:tcW w:w="1408" w:type="dxa"/>
            <w:tcBorders>
              <w:top w:val="single" w:sz="8" w:space="0" w:color="AEAEAE"/>
              <w:left w:val="single" w:sz="8" w:space="0" w:color="E0E0E0"/>
              <w:bottom w:val="single" w:sz="8" w:space="0" w:color="AEAEAE"/>
              <w:right w:val="single" w:sz="8" w:space="0" w:color="E0E0E0"/>
            </w:tcBorders>
            <w:shd w:val="clear" w:color="auto" w:fill="auto"/>
          </w:tcPr>
          <w:p w14:paraId="3B200676"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.393</w:t>
            </w:r>
          </w:p>
        </w:tc>
        <w:tc>
          <w:tcPr>
            <w:tcW w:w="1025" w:type="dxa"/>
            <w:tcBorders>
              <w:top w:val="single" w:sz="8" w:space="0" w:color="AEAEAE"/>
              <w:left w:val="single" w:sz="8" w:space="0" w:color="E0E0E0"/>
              <w:bottom w:val="single" w:sz="8" w:space="0" w:color="AEAEAE"/>
              <w:right w:val="single" w:sz="8" w:space="0" w:color="E0E0E0"/>
            </w:tcBorders>
            <w:shd w:val="clear" w:color="auto" w:fill="auto"/>
            <w:vAlign w:val="center"/>
          </w:tcPr>
          <w:p w14:paraId="56A4BD4D" w14:textId="77777777" w:rsidR="00174C4E" w:rsidRPr="00174C4E" w:rsidRDefault="00174C4E" w:rsidP="007B1BDB">
            <w:pPr>
              <w:autoSpaceDE w:val="0"/>
              <w:autoSpaceDN w:val="0"/>
              <w:adjustRightInd w:val="0"/>
              <w:spacing w:before="240" w:after="0" w:line="360" w:lineRule="auto"/>
              <w:jc w:val="left"/>
              <w:rPr>
                <w:rFonts w:cs="Times New Roman"/>
                <w:szCs w:val="24"/>
              </w:rPr>
            </w:pPr>
          </w:p>
        </w:tc>
        <w:tc>
          <w:tcPr>
            <w:tcW w:w="1025" w:type="dxa"/>
            <w:tcBorders>
              <w:top w:val="single" w:sz="8" w:space="0" w:color="AEAEAE"/>
              <w:left w:val="single" w:sz="8" w:space="0" w:color="E0E0E0"/>
              <w:bottom w:val="single" w:sz="8" w:space="0" w:color="AEAEAE"/>
              <w:right w:val="nil"/>
            </w:tcBorders>
            <w:shd w:val="clear" w:color="auto" w:fill="auto"/>
            <w:vAlign w:val="center"/>
          </w:tcPr>
          <w:p w14:paraId="08FF040C" w14:textId="77777777" w:rsidR="00174C4E" w:rsidRPr="00174C4E" w:rsidRDefault="00174C4E" w:rsidP="007B1BDB">
            <w:pPr>
              <w:autoSpaceDE w:val="0"/>
              <w:autoSpaceDN w:val="0"/>
              <w:adjustRightInd w:val="0"/>
              <w:spacing w:before="240" w:after="0" w:line="360" w:lineRule="auto"/>
              <w:jc w:val="left"/>
              <w:rPr>
                <w:rFonts w:cs="Times New Roman"/>
                <w:szCs w:val="24"/>
              </w:rPr>
            </w:pPr>
          </w:p>
        </w:tc>
      </w:tr>
      <w:tr w:rsidR="00174C4E" w:rsidRPr="00174C4E" w14:paraId="4E6B4F69" w14:textId="77777777" w:rsidTr="00174C4E">
        <w:trPr>
          <w:cantSplit/>
        </w:trPr>
        <w:tc>
          <w:tcPr>
            <w:tcW w:w="733" w:type="dxa"/>
            <w:vMerge/>
            <w:tcBorders>
              <w:top w:val="single" w:sz="8" w:space="0" w:color="152935"/>
              <w:left w:val="nil"/>
              <w:bottom w:val="single" w:sz="8" w:space="0" w:color="152935"/>
              <w:right w:val="nil"/>
            </w:tcBorders>
            <w:shd w:val="clear" w:color="auto" w:fill="auto"/>
          </w:tcPr>
          <w:p w14:paraId="6B8CC6FA" w14:textId="77777777" w:rsidR="00174C4E" w:rsidRPr="00174C4E" w:rsidRDefault="00174C4E" w:rsidP="007B1BDB">
            <w:pPr>
              <w:autoSpaceDE w:val="0"/>
              <w:autoSpaceDN w:val="0"/>
              <w:adjustRightInd w:val="0"/>
              <w:spacing w:before="240" w:after="0" w:line="360" w:lineRule="auto"/>
              <w:jc w:val="left"/>
              <w:rPr>
                <w:rFonts w:cs="Times New Roman"/>
                <w:szCs w:val="24"/>
              </w:rPr>
            </w:pPr>
          </w:p>
        </w:tc>
        <w:tc>
          <w:tcPr>
            <w:tcW w:w="1284" w:type="dxa"/>
            <w:tcBorders>
              <w:top w:val="single" w:sz="8" w:space="0" w:color="AEAEAE"/>
              <w:left w:val="nil"/>
              <w:bottom w:val="single" w:sz="8" w:space="0" w:color="152935"/>
              <w:right w:val="nil"/>
            </w:tcBorders>
            <w:shd w:val="clear" w:color="auto" w:fill="auto"/>
          </w:tcPr>
          <w:p w14:paraId="12BA53F1" w14:textId="77777777" w:rsidR="00174C4E" w:rsidRPr="00174C4E" w:rsidRDefault="00174C4E" w:rsidP="007B1BDB">
            <w:pPr>
              <w:autoSpaceDE w:val="0"/>
              <w:autoSpaceDN w:val="0"/>
              <w:adjustRightInd w:val="0"/>
              <w:spacing w:before="240" w:after="0" w:line="360" w:lineRule="auto"/>
              <w:ind w:left="60" w:right="60"/>
              <w:jc w:val="left"/>
              <w:rPr>
                <w:rFonts w:ascii="Arial" w:hAnsi="Arial" w:cs="Arial"/>
                <w:sz w:val="18"/>
                <w:szCs w:val="18"/>
              </w:rPr>
            </w:pPr>
            <w:r w:rsidRPr="00174C4E">
              <w:rPr>
                <w:rFonts w:ascii="Arial" w:hAnsi="Arial" w:cs="Arial"/>
                <w:sz w:val="18"/>
                <w:szCs w:val="18"/>
              </w:rPr>
              <w:t>Total</w:t>
            </w:r>
          </w:p>
        </w:tc>
        <w:tc>
          <w:tcPr>
            <w:tcW w:w="1469" w:type="dxa"/>
            <w:tcBorders>
              <w:top w:val="single" w:sz="8" w:space="0" w:color="AEAEAE"/>
              <w:left w:val="nil"/>
              <w:bottom w:val="single" w:sz="8" w:space="0" w:color="152935"/>
              <w:right w:val="single" w:sz="8" w:space="0" w:color="E0E0E0"/>
            </w:tcBorders>
            <w:shd w:val="clear" w:color="auto" w:fill="auto"/>
          </w:tcPr>
          <w:p w14:paraId="1133066A"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66.183</w:t>
            </w:r>
          </w:p>
        </w:tc>
        <w:tc>
          <w:tcPr>
            <w:tcW w:w="1025" w:type="dxa"/>
            <w:tcBorders>
              <w:top w:val="single" w:sz="8" w:space="0" w:color="AEAEAE"/>
              <w:left w:val="single" w:sz="8" w:space="0" w:color="E0E0E0"/>
              <w:bottom w:val="single" w:sz="8" w:space="0" w:color="152935"/>
              <w:right w:val="single" w:sz="8" w:space="0" w:color="E0E0E0"/>
            </w:tcBorders>
            <w:shd w:val="clear" w:color="auto" w:fill="auto"/>
          </w:tcPr>
          <w:p w14:paraId="6D89DD62" w14:textId="77777777" w:rsidR="00174C4E" w:rsidRPr="00174C4E" w:rsidRDefault="00174C4E" w:rsidP="007B1BDB">
            <w:pPr>
              <w:autoSpaceDE w:val="0"/>
              <w:autoSpaceDN w:val="0"/>
              <w:adjustRightInd w:val="0"/>
              <w:spacing w:before="240" w:after="0" w:line="360" w:lineRule="auto"/>
              <w:ind w:left="60" w:right="60"/>
              <w:jc w:val="right"/>
              <w:rPr>
                <w:rFonts w:ascii="Arial" w:hAnsi="Arial" w:cs="Arial"/>
                <w:sz w:val="18"/>
                <w:szCs w:val="18"/>
              </w:rPr>
            </w:pPr>
            <w:r w:rsidRPr="00174C4E">
              <w:rPr>
                <w:rFonts w:ascii="Arial" w:hAnsi="Arial" w:cs="Arial"/>
                <w:sz w:val="18"/>
                <w:szCs w:val="18"/>
              </w:rPr>
              <w:t>155</w:t>
            </w:r>
          </w:p>
        </w:tc>
        <w:tc>
          <w:tcPr>
            <w:tcW w:w="1408" w:type="dxa"/>
            <w:tcBorders>
              <w:top w:val="single" w:sz="8" w:space="0" w:color="AEAEAE"/>
              <w:left w:val="single" w:sz="8" w:space="0" w:color="E0E0E0"/>
              <w:bottom w:val="single" w:sz="8" w:space="0" w:color="152935"/>
              <w:right w:val="single" w:sz="8" w:space="0" w:color="E0E0E0"/>
            </w:tcBorders>
            <w:shd w:val="clear" w:color="auto" w:fill="auto"/>
            <w:vAlign w:val="center"/>
          </w:tcPr>
          <w:p w14:paraId="5CFEE060" w14:textId="77777777" w:rsidR="00174C4E" w:rsidRPr="00174C4E" w:rsidRDefault="00174C4E" w:rsidP="007B1BDB">
            <w:pPr>
              <w:autoSpaceDE w:val="0"/>
              <w:autoSpaceDN w:val="0"/>
              <w:adjustRightInd w:val="0"/>
              <w:spacing w:before="240" w:after="0" w:line="360" w:lineRule="auto"/>
              <w:jc w:val="left"/>
              <w:rPr>
                <w:rFonts w:cs="Times New Roman"/>
                <w:szCs w:val="24"/>
              </w:rPr>
            </w:pPr>
          </w:p>
        </w:tc>
        <w:tc>
          <w:tcPr>
            <w:tcW w:w="1025" w:type="dxa"/>
            <w:tcBorders>
              <w:top w:val="single" w:sz="8" w:space="0" w:color="AEAEAE"/>
              <w:left w:val="single" w:sz="8" w:space="0" w:color="E0E0E0"/>
              <w:bottom w:val="single" w:sz="8" w:space="0" w:color="152935"/>
              <w:right w:val="single" w:sz="8" w:space="0" w:color="E0E0E0"/>
            </w:tcBorders>
            <w:shd w:val="clear" w:color="auto" w:fill="auto"/>
            <w:vAlign w:val="center"/>
          </w:tcPr>
          <w:p w14:paraId="38F2B2BE" w14:textId="77777777" w:rsidR="00174C4E" w:rsidRPr="00174C4E" w:rsidRDefault="00174C4E" w:rsidP="007B1BDB">
            <w:pPr>
              <w:autoSpaceDE w:val="0"/>
              <w:autoSpaceDN w:val="0"/>
              <w:adjustRightInd w:val="0"/>
              <w:spacing w:before="240" w:after="0" w:line="360" w:lineRule="auto"/>
              <w:jc w:val="left"/>
              <w:rPr>
                <w:rFonts w:cs="Times New Roman"/>
                <w:szCs w:val="24"/>
              </w:rPr>
            </w:pPr>
          </w:p>
        </w:tc>
        <w:tc>
          <w:tcPr>
            <w:tcW w:w="1025" w:type="dxa"/>
            <w:tcBorders>
              <w:top w:val="single" w:sz="8" w:space="0" w:color="AEAEAE"/>
              <w:left w:val="single" w:sz="8" w:space="0" w:color="E0E0E0"/>
              <w:bottom w:val="single" w:sz="8" w:space="0" w:color="152935"/>
              <w:right w:val="nil"/>
            </w:tcBorders>
            <w:shd w:val="clear" w:color="auto" w:fill="auto"/>
            <w:vAlign w:val="center"/>
          </w:tcPr>
          <w:p w14:paraId="51C00421" w14:textId="77777777" w:rsidR="00174C4E" w:rsidRPr="00174C4E" w:rsidRDefault="00174C4E" w:rsidP="007B1BDB">
            <w:pPr>
              <w:autoSpaceDE w:val="0"/>
              <w:autoSpaceDN w:val="0"/>
              <w:adjustRightInd w:val="0"/>
              <w:spacing w:before="240" w:after="0" w:line="360" w:lineRule="auto"/>
              <w:jc w:val="left"/>
              <w:rPr>
                <w:rFonts w:cs="Times New Roman"/>
                <w:szCs w:val="24"/>
              </w:rPr>
            </w:pPr>
          </w:p>
        </w:tc>
      </w:tr>
      <w:tr w:rsidR="00174C4E" w:rsidRPr="00174C4E" w14:paraId="728B3795" w14:textId="77777777" w:rsidTr="00174C4E">
        <w:trPr>
          <w:cantSplit/>
        </w:trPr>
        <w:tc>
          <w:tcPr>
            <w:tcW w:w="7969" w:type="dxa"/>
            <w:gridSpan w:val="7"/>
            <w:tcBorders>
              <w:top w:val="nil"/>
              <w:left w:val="nil"/>
              <w:bottom w:val="nil"/>
              <w:right w:val="nil"/>
            </w:tcBorders>
            <w:shd w:val="clear" w:color="auto" w:fill="auto"/>
          </w:tcPr>
          <w:p w14:paraId="05D25ECB" w14:textId="367A24C2" w:rsidR="00174C4E" w:rsidRPr="00174C4E" w:rsidRDefault="00174C4E" w:rsidP="007B1BDB">
            <w:pPr>
              <w:autoSpaceDE w:val="0"/>
              <w:autoSpaceDN w:val="0"/>
              <w:adjustRightInd w:val="0"/>
              <w:spacing w:before="240" w:after="0" w:line="360" w:lineRule="auto"/>
              <w:ind w:left="60" w:right="60"/>
              <w:jc w:val="left"/>
              <w:rPr>
                <w:rFonts w:ascii="Arial" w:hAnsi="Arial" w:cs="Arial"/>
                <w:sz w:val="18"/>
                <w:szCs w:val="18"/>
              </w:rPr>
            </w:pPr>
            <w:r w:rsidRPr="00174C4E">
              <w:rPr>
                <w:rFonts w:ascii="Arial" w:hAnsi="Arial" w:cs="Arial"/>
                <w:sz w:val="18"/>
                <w:szCs w:val="18"/>
              </w:rPr>
              <w:t>a. Dependent Variable: Household</w:t>
            </w:r>
            <w:r>
              <w:rPr>
                <w:rFonts w:ascii="Arial" w:hAnsi="Arial" w:cs="Arial"/>
                <w:sz w:val="18"/>
                <w:szCs w:val="18"/>
              </w:rPr>
              <w:t xml:space="preserve"> </w:t>
            </w:r>
            <w:r w:rsidRPr="00174C4E">
              <w:rPr>
                <w:rFonts w:ascii="Arial" w:hAnsi="Arial" w:cs="Arial"/>
                <w:sz w:val="18"/>
                <w:szCs w:val="18"/>
              </w:rPr>
              <w:t>Economy</w:t>
            </w:r>
          </w:p>
        </w:tc>
      </w:tr>
      <w:tr w:rsidR="00174C4E" w:rsidRPr="00174C4E" w14:paraId="73C0B386" w14:textId="77777777" w:rsidTr="00174C4E">
        <w:trPr>
          <w:cantSplit/>
        </w:trPr>
        <w:tc>
          <w:tcPr>
            <w:tcW w:w="7969" w:type="dxa"/>
            <w:gridSpan w:val="7"/>
            <w:tcBorders>
              <w:top w:val="nil"/>
              <w:left w:val="nil"/>
              <w:bottom w:val="nil"/>
              <w:right w:val="nil"/>
            </w:tcBorders>
            <w:shd w:val="clear" w:color="auto" w:fill="auto"/>
          </w:tcPr>
          <w:p w14:paraId="61E044EA" w14:textId="77777777" w:rsidR="00174C4E" w:rsidRPr="00174C4E" w:rsidRDefault="00174C4E" w:rsidP="007B1BDB">
            <w:pPr>
              <w:autoSpaceDE w:val="0"/>
              <w:autoSpaceDN w:val="0"/>
              <w:adjustRightInd w:val="0"/>
              <w:spacing w:before="240" w:after="0" w:line="360" w:lineRule="auto"/>
              <w:ind w:left="60" w:right="60"/>
              <w:jc w:val="left"/>
              <w:rPr>
                <w:rFonts w:ascii="Arial" w:hAnsi="Arial" w:cs="Arial"/>
                <w:sz w:val="18"/>
                <w:szCs w:val="18"/>
              </w:rPr>
            </w:pPr>
            <w:r w:rsidRPr="00174C4E">
              <w:rPr>
                <w:rFonts w:ascii="Arial" w:hAnsi="Arial" w:cs="Arial"/>
                <w:sz w:val="18"/>
                <w:szCs w:val="18"/>
              </w:rPr>
              <w:t>b. Predictors: (Constant), Remittance</w:t>
            </w:r>
          </w:p>
        </w:tc>
      </w:tr>
    </w:tbl>
    <w:p w14:paraId="42E3D9BA" w14:textId="03F2A7D9" w:rsidR="00823C19" w:rsidRDefault="00823C19" w:rsidP="007B1BDB">
      <w:pPr>
        <w:autoSpaceDE w:val="0"/>
        <w:autoSpaceDN w:val="0"/>
        <w:adjustRightInd w:val="0"/>
        <w:spacing w:before="240" w:after="0" w:line="360" w:lineRule="auto"/>
      </w:pPr>
      <w:r>
        <w:t xml:space="preserve"> Fig-4.27: </w:t>
      </w:r>
      <w:proofErr w:type="spellStart"/>
      <w:r>
        <w:t>Anova</w:t>
      </w:r>
      <w:proofErr w:type="spellEnd"/>
      <w:r>
        <w:t xml:space="preserve"> Table</w:t>
      </w:r>
    </w:p>
    <w:p w14:paraId="42B418CF" w14:textId="10C72505" w:rsidR="00174C4E" w:rsidRPr="00174C4E" w:rsidRDefault="00174C4E" w:rsidP="007B1BDB">
      <w:pPr>
        <w:autoSpaceDE w:val="0"/>
        <w:autoSpaceDN w:val="0"/>
        <w:adjustRightInd w:val="0"/>
        <w:spacing w:before="240" w:after="0" w:line="360" w:lineRule="auto"/>
        <w:rPr>
          <w:rFonts w:cs="Times New Roman"/>
          <w:color w:val="auto"/>
          <w:szCs w:val="24"/>
        </w:rPr>
      </w:pPr>
      <w:r>
        <w:lastRenderedPageBreak/>
        <w:t>The ANOVA table assesses the significance of the regression model that includes remittance as a predictor of household economy. The "Regression" row shows that the model explains a significant amount of variability in household economy, with a sum of squares of 5.595 and a mean square of 5.595. The F-statistic of 14.222 indicates that the model is statistically significant (p &lt; 0.001), suggesting that the regression model with remittance as a predictor is a good fit for explaining changes in household economy. The "Residual" row indicates the sum of squares of the differences between the observed values and the predicted values from the model, showing an amount of 60.588. This residual variation represents the unexplained variability in household economy not accounted for by remittance in the model. Overall, the ANOVA results support the conclusion that remittance has a significant impact on household economy.</w:t>
      </w:r>
    </w:p>
    <w:p w14:paraId="1228A43B" w14:textId="77777777" w:rsidR="00174C4E" w:rsidRPr="00174C4E" w:rsidRDefault="00174C4E" w:rsidP="007B1BDB">
      <w:pPr>
        <w:autoSpaceDE w:val="0"/>
        <w:autoSpaceDN w:val="0"/>
        <w:adjustRightInd w:val="0"/>
        <w:spacing w:after="0" w:line="360" w:lineRule="auto"/>
        <w:jc w:val="left"/>
        <w:rPr>
          <w:rFonts w:cs="Times New Roman"/>
          <w:color w:val="auto"/>
          <w:szCs w:val="24"/>
        </w:rPr>
      </w:pPr>
    </w:p>
    <w:tbl>
      <w:tblPr>
        <w:tblW w:w="8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54"/>
        <w:gridCol w:w="1331"/>
        <w:gridCol w:w="1331"/>
        <w:gridCol w:w="1469"/>
        <w:gridCol w:w="1025"/>
        <w:gridCol w:w="1025"/>
      </w:tblGrid>
      <w:tr w:rsidR="00174C4E" w:rsidRPr="00174C4E" w14:paraId="4214527B" w14:textId="77777777" w:rsidTr="00E600CF">
        <w:trPr>
          <w:cantSplit/>
        </w:trPr>
        <w:tc>
          <w:tcPr>
            <w:tcW w:w="8164" w:type="dxa"/>
            <w:gridSpan w:val="7"/>
            <w:tcBorders>
              <w:top w:val="nil"/>
              <w:left w:val="nil"/>
              <w:bottom w:val="single" w:sz="4" w:space="0" w:color="auto"/>
              <w:right w:val="nil"/>
            </w:tcBorders>
            <w:shd w:val="clear" w:color="auto" w:fill="auto"/>
            <w:vAlign w:val="center"/>
          </w:tcPr>
          <w:p w14:paraId="3C31158B" w14:textId="77777777" w:rsidR="00174C4E" w:rsidRPr="00174C4E" w:rsidRDefault="00174C4E" w:rsidP="007B1BDB">
            <w:pPr>
              <w:spacing w:line="360" w:lineRule="auto"/>
              <w:jc w:val="center"/>
            </w:pPr>
            <w:proofErr w:type="spellStart"/>
            <w:r w:rsidRPr="007B1BDB">
              <w:rPr>
                <w:b/>
                <w:bCs/>
              </w:rPr>
              <w:t>Coefficients</w:t>
            </w:r>
            <w:r w:rsidRPr="007B1BDB">
              <w:rPr>
                <w:b/>
                <w:bCs/>
                <w:vertAlign w:val="superscript"/>
              </w:rPr>
              <w:t>a</w:t>
            </w:r>
            <w:proofErr w:type="spellEnd"/>
          </w:p>
        </w:tc>
      </w:tr>
      <w:tr w:rsidR="00174C4E" w:rsidRPr="00174C4E" w14:paraId="115D0E14" w14:textId="77777777" w:rsidTr="00E600CF">
        <w:trPr>
          <w:cantSplit/>
        </w:trPr>
        <w:tc>
          <w:tcPr>
            <w:tcW w:w="1988" w:type="dxa"/>
            <w:gridSpan w:val="2"/>
            <w:vMerge w:val="restart"/>
            <w:tcBorders>
              <w:top w:val="single" w:sz="4" w:space="0" w:color="auto"/>
              <w:left w:val="nil"/>
              <w:bottom w:val="nil"/>
              <w:right w:val="nil"/>
            </w:tcBorders>
            <w:shd w:val="clear" w:color="auto" w:fill="auto"/>
            <w:vAlign w:val="bottom"/>
          </w:tcPr>
          <w:p w14:paraId="20AD227C" w14:textId="77777777" w:rsidR="00174C4E" w:rsidRPr="00174C4E" w:rsidRDefault="00174C4E" w:rsidP="007B1BDB">
            <w:pPr>
              <w:autoSpaceDE w:val="0"/>
              <w:autoSpaceDN w:val="0"/>
              <w:adjustRightInd w:val="0"/>
              <w:spacing w:after="0" w:line="360" w:lineRule="auto"/>
              <w:ind w:left="60" w:right="60"/>
              <w:jc w:val="left"/>
              <w:rPr>
                <w:rFonts w:ascii="Arial" w:hAnsi="Arial" w:cs="Arial"/>
                <w:sz w:val="18"/>
                <w:szCs w:val="18"/>
              </w:rPr>
            </w:pPr>
            <w:r w:rsidRPr="00174C4E">
              <w:rPr>
                <w:rFonts w:ascii="Arial" w:hAnsi="Arial" w:cs="Arial"/>
                <w:sz w:val="18"/>
                <w:szCs w:val="18"/>
              </w:rPr>
              <w:t>Model</w:t>
            </w:r>
          </w:p>
        </w:tc>
        <w:tc>
          <w:tcPr>
            <w:tcW w:w="2660" w:type="dxa"/>
            <w:gridSpan w:val="2"/>
            <w:tcBorders>
              <w:top w:val="single" w:sz="4" w:space="0" w:color="auto"/>
              <w:left w:val="nil"/>
              <w:bottom w:val="nil"/>
              <w:right w:val="single" w:sz="8" w:space="0" w:color="E0E0E0"/>
            </w:tcBorders>
            <w:shd w:val="clear" w:color="auto" w:fill="auto"/>
            <w:vAlign w:val="bottom"/>
          </w:tcPr>
          <w:p w14:paraId="2D10B4CE"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Unstandardized Coefficients</w:t>
            </w:r>
          </w:p>
        </w:tc>
        <w:tc>
          <w:tcPr>
            <w:tcW w:w="1468" w:type="dxa"/>
            <w:tcBorders>
              <w:top w:val="single" w:sz="4" w:space="0" w:color="auto"/>
              <w:left w:val="single" w:sz="8" w:space="0" w:color="E0E0E0"/>
              <w:bottom w:val="nil"/>
              <w:right w:val="single" w:sz="8" w:space="0" w:color="E0E0E0"/>
            </w:tcBorders>
            <w:shd w:val="clear" w:color="auto" w:fill="auto"/>
            <w:vAlign w:val="bottom"/>
          </w:tcPr>
          <w:p w14:paraId="74F520CB"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Standardized Coefficients</w:t>
            </w:r>
          </w:p>
        </w:tc>
        <w:tc>
          <w:tcPr>
            <w:tcW w:w="1024" w:type="dxa"/>
            <w:vMerge w:val="restart"/>
            <w:tcBorders>
              <w:top w:val="single" w:sz="4" w:space="0" w:color="auto"/>
              <w:left w:val="single" w:sz="8" w:space="0" w:color="E0E0E0"/>
              <w:bottom w:val="nil"/>
              <w:right w:val="single" w:sz="8" w:space="0" w:color="E0E0E0"/>
            </w:tcBorders>
            <w:shd w:val="clear" w:color="auto" w:fill="auto"/>
            <w:vAlign w:val="bottom"/>
          </w:tcPr>
          <w:p w14:paraId="7AF80367"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t</w:t>
            </w:r>
          </w:p>
        </w:tc>
        <w:tc>
          <w:tcPr>
            <w:tcW w:w="1024" w:type="dxa"/>
            <w:vMerge w:val="restart"/>
            <w:tcBorders>
              <w:top w:val="single" w:sz="4" w:space="0" w:color="auto"/>
              <w:left w:val="single" w:sz="8" w:space="0" w:color="E0E0E0"/>
              <w:bottom w:val="nil"/>
              <w:right w:val="nil"/>
            </w:tcBorders>
            <w:shd w:val="clear" w:color="auto" w:fill="auto"/>
            <w:vAlign w:val="bottom"/>
          </w:tcPr>
          <w:p w14:paraId="17A789C5"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Sig.</w:t>
            </w:r>
          </w:p>
        </w:tc>
      </w:tr>
      <w:tr w:rsidR="00174C4E" w:rsidRPr="00174C4E" w14:paraId="6ED760BE" w14:textId="77777777" w:rsidTr="00174C4E">
        <w:trPr>
          <w:cantSplit/>
        </w:trPr>
        <w:tc>
          <w:tcPr>
            <w:tcW w:w="1988" w:type="dxa"/>
            <w:gridSpan w:val="2"/>
            <w:vMerge/>
            <w:tcBorders>
              <w:top w:val="nil"/>
              <w:left w:val="nil"/>
              <w:bottom w:val="nil"/>
              <w:right w:val="nil"/>
            </w:tcBorders>
            <w:shd w:val="clear" w:color="auto" w:fill="auto"/>
            <w:vAlign w:val="bottom"/>
          </w:tcPr>
          <w:p w14:paraId="39F1E1FE" w14:textId="77777777" w:rsidR="00174C4E" w:rsidRPr="00174C4E" w:rsidRDefault="00174C4E" w:rsidP="007B1BDB">
            <w:pPr>
              <w:autoSpaceDE w:val="0"/>
              <w:autoSpaceDN w:val="0"/>
              <w:adjustRightInd w:val="0"/>
              <w:spacing w:after="0" w:line="360" w:lineRule="auto"/>
              <w:jc w:val="left"/>
              <w:rPr>
                <w:rFonts w:ascii="Arial" w:hAnsi="Arial" w:cs="Arial"/>
                <w:sz w:val="18"/>
                <w:szCs w:val="18"/>
              </w:rPr>
            </w:pPr>
          </w:p>
        </w:tc>
        <w:tc>
          <w:tcPr>
            <w:tcW w:w="1330" w:type="dxa"/>
            <w:tcBorders>
              <w:top w:val="nil"/>
              <w:left w:val="nil"/>
              <w:bottom w:val="single" w:sz="8" w:space="0" w:color="152935"/>
              <w:right w:val="single" w:sz="8" w:space="0" w:color="E0E0E0"/>
            </w:tcBorders>
            <w:shd w:val="clear" w:color="auto" w:fill="auto"/>
            <w:vAlign w:val="bottom"/>
          </w:tcPr>
          <w:p w14:paraId="0F77A71E"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B</w:t>
            </w:r>
          </w:p>
        </w:tc>
        <w:tc>
          <w:tcPr>
            <w:tcW w:w="1330" w:type="dxa"/>
            <w:tcBorders>
              <w:top w:val="nil"/>
              <w:left w:val="single" w:sz="8" w:space="0" w:color="E0E0E0"/>
              <w:bottom w:val="single" w:sz="8" w:space="0" w:color="152935"/>
              <w:right w:val="single" w:sz="8" w:space="0" w:color="E0E0E0"/>
            </w:tcBorders>
            <w:shd w:val="clear" w:color="auto" w:fill="auto"/>
            <w:vAlign w:val="bottom"/>
          </w:tcPr>
          <w:p w14:paraId="7C52D534"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Std. Error</w:t>
            </w:r>
          </w:p>
        </w:tc>
        <w:tc>
          <w:tcPr>
            <w:tcW w:w="1468" w:type="dxa"/>
            <w:tcBorders>
              <w:top w:val="nil"/>
              <w:left w:val="single" w:sz="8" w:space="0" w:color="E0E0E0"/>
              <w:bottom w:val="single" w:sz="8" w:space="0" w:color="152935"/>
              <w:right w:val="single" w:sz="8" w:space="0" w:color="E0E0E0"/>
            </w:tcBorders>
            <w:shd w:val="clear" w:color="auto" w:fill="auto"/>
            <w:vAlign w:val="bottom"/>
          </w:tcPr>
          <w:p w14:paraId="10CA2BA6" w14:textId="77777777" w:rsidR="00174C4E" w:rsidRPr="00174C4E" w:rsidRDefault="00174C4E" w:rsidP="007B1BDB">
            <w:pPr>
              <w:autoSpaceDE w:val="0"/>
              <w:autoSpaceDN w:val="0"/>
              <w:adjustRightInd w:val="0"/>
              <w:spacing w:after="0" w:line="360" w:lineRule="auto"/>
              <w:ind w:left="60" w:right="60"/>
              <w:jc w:val="center"/>
              <w:rPr>
                <w:rFonts w:ascii="Arial" w:hAnsi="Arial" w:cs="Arial"/>
                <w:sz w:val="18"/>
                <w:szCs w:val="18"/>
              </w:rPr>
            </w:pPr>
            <w:r w:rsidRPr="00174C4E">
              <w:rPr>
                <w:rFonts w:ascii="Arial" w:hAnsi="Arial" w:cs="Arial"/>
                <w:sz w:val="18"/>
                <w:szCs w:val="18"/>
              </w:rPr>
              <w:t>Beta</w:t>
            </w:r>
          </w:p>
        </w:tc>
        <w:tc>
          <w:tcPr>
            <w:tcW w:w="1024" w:type="dxa"/>
            <w:vMerge/>
            <w:tcBorders>
              <w:top w:val="nil"/>
              <w:left w:val="single" w:sz="8" w:space="0" w:color="E0E0E0"/>
              <w:bottom w:val="nil"/>
              <w:right w:val="single" w:sz="8" w:space="0" w:color="E0E0E0"/>
            </w:tcBorders>
            <w:shd w:val="clear" w:color="auto" w:fill="auto"/>
            <w:vAlign w:val="bottom"/>
          </w:tcPr>
          <w:p w14:paraId="36F9273E" w14:textId="77777777" w:rsidR="00174C4E" w:rsidRPr="00174C4E" w:rsidRDefault="00174C4E" w:rsidP="007B1BDB">
            <w:pPr>
              <w:autoSpaceDE w:val="0"/>
              <w:autoSpaceDN w:val="0"/>
              <w:adjustRightInd w:val="0"/>
              <w:spacing w:after="0" w:line="360" w:lineRule="auto"/>
              <w:jc w:val="left"/>
              <w:rPr>
                <w:rFonts w:ascii="Arial" w:hAnsi="Arial" w:cs="Arial"/>
                <w:sz w:val="18"/>
                <w:szCs w:val="18"/>
              </w:rPr>
            </w:pPr>
          </w:p>
        </w:tc>
        <w:tc>
          <w:tcPr>
            <w:tcW w:w="1024" w:type="dxa"/>
            <w:vMerge/>
            <w:tcBorders>
              <w:top w:val="nil"/>
              <w:left w:val="single" w:sz="8" w:space="0" w:color="E0E0E0"/>
              <w:bottom w:val="nil"/>
              <w:right w:val="nil"/>
            </w:tcBorders>
            <w:shd w:val="clear" w:color="auto" w:fill="auto"/>
            <w:vAlign w:val="bottom"/>
          </w:tcPr>
          <w:p w14:paraId="0F63483F" w14:textId="77777777" w:rsidR="00174C4E" w:rsidRPr="00174C4E" w:rsidRDefault="00174C4E" w:rsidP="007B1BDB">
            <w:pPr>
              <w:autoSpaceDE w:val="0"/>
              <w:autoSpaceDN w:val="0"/>
              <w:adjustRightInd w:val="0"/>
              <w:spacing w:after="0" w:line="360" w:lineRule="auto"/>
              <w:jc w:val="left"/>
              <w:rPr>
                <w:rFonts w:ascii="Arial" w:hAnsi="Arial" w:cs="Arial"/>
                <w:sz w:val="18"/>
                <w:szCs w:val="18"/>
              </w:rPr>
            </w:pPr>
          </w:p>
        </w:tc>
      </w:tr>
      <w:tr w:rsidR="00174C4E" w:rsidRPr="00174C4E" w14:paraId="3283E8AA" w14:textId="77777777" w:rsidTr="00174C4E">
        <w:trPr>
          <w:cantSplit/>
        </w:trPr>
        <w:tc>
          <w:tcPr>
            <w:tcW w:w="734" w:type="dxa"/>
            <w:vMerge w:val="restart"/>
            <w:tcBorders>
              <w:top w:val="single" w:sz="8" w:space="0" w:color="152935"/>
              <w:left w:val="nil"/>
              <w:bottom w:val="single" w:sz="8" w:space="0" w:color="152935"/>
              <w:right w:val="nil"/>
            </w:tcBorders>
            <w:shd w:val="clear" w:color="auto" w:fill="auto"/>
          </w:tcPr>
          <w:p w14:paraId="57A73A47" w14:textId="77777777" w:rsidR="00174C4E" w:rsidRPr="00174C4E" w:rsidRDefault="00174C4E" w:rsidP="007B1BDB">
            <w:pPr>
              <w:autoSpaceDE w:val="0"/>
              <w:autoSpaceDN w:val="0"/>
              <w:adjustRightInd w:val="0"/>
              <w:spacing w:after="0" w:line="360" w:lineRule="auto"/>
              <w:ind w:left="60" w:right="60"/>
              <w:jc w:val="left"/>
              <w:rPr>
                <w:rFonts w:ascii="Arial" w:hAnsi="Arial" w:cs="Arial"/>
                <w:sz w:val="18"/>
                <w:szCs w:val="18"/>
              </w:rPr>
            </w:pPr>
            <w:r w:rsidRPr="00174C4E">
              <w:rPr>
                <w:rFonts w:ascii="Arial" w:hAnsi="Arial" w:cs="Arial"/>
                <w:sz w:val="18"/>
                <w:szCs w:val="18"/>
              </w:rPr>
              <w:t>1</w:t>
            </w:r>
          </w:p>
        </w:tc>
        <w:tc>
          <w:tcPr>
            <w:tcW w:w="1254" w:type="dxa"/>
            <w:tcBorders>
              <w:top w:val="single" w:sz="8" w:space="0" w:color="152935"/>
              <w:left w:val="nil"/>
              <w:bottom w:val="single" w:sz="8" w:space="0" w:color="AEAEAE"/>
              <w:right w:val="nil"/>
            </w:tcBorders>
            <w:shd w:val="clear" w:color="auto" w:fill="auto"/>
          </w:tcPr>
          <w:p w14:paraId="4573AD4E" w14:textId="77777777" w:rsidR="00174C4E" w:rsidRPr="00174C4E" w:rsidRDefault="00174C4E" w:rsidP="007B1BDB">
            <w:pPr>
              <w:autoSpaceDE w:val="0"/>
              <w:autoSpaceDN w:val="0"/>
              <w:adjustRightInd w:val="0"/>
              <w:spacing w:after="0" w:line="360" w:lineRule="auto"/>
              <w:ind w:left="60" w:right="60"/>
              <w:jc w:val="left"/>
              <w:rPr>
                <w:rFonts w:ascii="Arial" w:hAnsi="Arial" w:cs="Arial"/>
                <w:sz w:val="18"/>
                <w:szCs w:val="18"/>
              </w:rPr>
            </w:pPr>
            <w:r w:rsidRPr="00174C4E">
              <w:rPr>
                <w:rFonts w:ascii="Arial" w:hAnsi="Arial" w:cs="Arial"/>
                <w:sz w:val="18"/>
                <w:szCs w:val="18"/>
              </w:rPr>
              <w:t>(Constant)</w:t>
            </w:r>
          </w:p>
        </w:tc>
        <w:tc>
          <w:tcPr>
            <w:tcW w:w="1330" w:type="dxa"/>
            <w:tcBorders>
              <w:top w:val="single" w:sz="8" w:space="0" w:color="152935"/>
              <w:left w:val="nil"/>
              <w:bottom w:val="single" w:sz="8" w:space="0" w:color="AEAEAE"/>
              <w:right w:val="single" w:sz="8" w:space="0" w:color="E0E0E0"/>
            </w:tcBorders>
            <w:shd w:val="clear" w:color="auto" w:fill="auto"/>
          </w:tcPr>
          <w:p w14:paraId="01CC5851"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2.096</w:t>
            </w:r>
          </w:p>
        </w:tc>
        <w:tc>
          <w:tcPr>
            <w:tcW w:w="1330" w:type="dxa"/>
            <w:tcBorders>
              <w:top w:val="single" w:sz="8" w:space="0" w:color="152935"/>
              <w:left w:val="single" w:sz="8" w:space="0" w:color="E0E0E0"/>
              <w:bottom w:val="single" w:sz="8" w:space="0" w:color="AEAEAE"/>
              <w:right w:val="single" w:sz="8" w:space="0" w:color="E0E0E0"/>
            </w:tcBorders>
            <w:shd w:val="clear" w:color="auto" w:fill="auto"/>
          </w:tcPr>
          <w:p w14:paraId="1764B9C6"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.170</w:t>
            </w:r>
          </w:p>
        </w:tc>
        <w:tc>
          <w:tcPr>
            <w:tcW w:w="1468" w:type="dxa"/>
            <w:tcBorders>
              <w:top w:val="single" w:sz="8" w:space="0" w:color="152935"/>
              <w:left w:val="single" w:sz="8" w:space="0" w:color="E0E0E0"/>
              <w:bottom w:val="single" w:sz="8" w:space="0" w:color="AEAEAE"/>
              <w:right w:val="single" w:sz="8" w:space="0" w:color="E0E0E0"/>
            </w:tcBorders>
            <w:shd w:val="clear" w:color="auto" w:fill="auto"/>
            <w:vAlign w:val="center"/>
          </w:tcPr>
          <w:p w14:paraId="0E37AA11" w14:textId="77777777" w:rsidR="00174C4E" w:rsidRPr="00174C4E" w:rsidRDefault="00174C4E" w:rsidP="007B1BDB">
            <w:pPr>
              <w:autoSpaceDE w:val="0"/>
              <w:autoSpaceDN w:val="0"/>
              <w:adjustRightInd w:val="0"/>
              <w:spacing w:after="0" w:line="360" w:lineRule="auto"/>
              <w:jc w:val="left"/>
              <w:rPr>
                <w:rFonts w:cs="Times New Roman"/>
                <w:szCs w:val="24"/>
              </w:rPr>
            </w:pPr>
          </w:p>
        </w:tc>
        <w:tc>
          <w:tcPr>
            <w:tcW w:w="1024" w:type="dxa"/>
            <w:tcBorders>
              <w:top w:val="single" w:sz="8" w:space="0" w:color="152935"/>
              <w:left w:val="single" w:sz="8" w:space="0" w:color="E0E0E0"/>
              <w:bottom w:val="single" w:sz="8" w:space="0" w:color="AEAEAE"/>
              <w:right w:val="single" w:sz="8" w:space="0" w:color="E0E0E0"/>
            </w:tcBorders>
            <w:shd w:val="clear" w:color="auto" w:fill="auto"/>
          </w:tcPr>
          <w:p w14:paraId="0883FD16"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12.327</w:t>
            </w:r>
          </w:p>
        </w:tc>
        <w:tc>
          <w:tcPr>
            <w:tcW w:w="1024" w:type="dxa"/>
            <w:tcBorders>
              <w:top w:val="single" w:sz="8" w:space="0" w:color="152935"/>
              <w:left w:val="single" w:sz="8" w:space="0" w:color="E0E0E0"/>
              <w:bottom w:val="single" w:sz="8" w:space="0" w:color="AEAEAE"/>
              <w:right w:val="nil"/>
            </w:tcBorders>
            <w:shd w:val="clear" w:color="auto" w:fill="auto"/>
          </w:tcPr>
          <w:p w14:paraId="4A90DD3A"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.000</w:t>
            </w:r>
          </w:p>
        </w:tc>
      </w:tr>
      <w:tr w:rsidR="00174C4E" w:rsidRPr="00174C4E" w14:paraId="2D4B07B3" w14:textId="77777777" w:rsidTr="00174C4E">
        <w:trPr>
          <w:cantSplit/>
        </w:trPr>
        <w:tc>
          <w:tcPr>
            <w:tcW w:w="734" w:type="dxa"/>
            <w:vMerge/>
            <w:tcBorders>
              <w:top w:val="single" w:sz="8" w:space="0" w:color="152935"/>
              <w:left w:val="nil"/>
              <w:bottom w:val="single" w:sz="8" w:space="0" w:color="152935"/>
              <w:right w:val="nil"/>
            </w:tcBorders>
            <w:shd w:val="clear" w:color="auto" w:fill="auto"/>
          </w:tcPr>
          <w:p w14:paraId="09819F7F" w14:textId="77777777" w:rsidR="00174C4E" w:rsidRPr="00174C4E" w:rsidRDefault="00174C4E" w:rsidP="007B1BDB">
            <w:pPr>
              <w:autoSpaceDE w:val="0"/>
              <w:autoSpaceDN w:val="0"/>
              <w:adjustRightInd w:val="0"/>
              <w:spacing w:after="0" w:line="360" w:lineRule="auto"/>
              <w:jc w:val="left"/>
              <w:rPr>
                <w:rFonts w:ascii="Arial" w:hAnsi="Arial" w:cs="Arial"/>
                <w:sz w:val="18"/>
                <w:szCs w:val="18"/>
              </w:rPr>
            </w:pPr>
          </w:p>
        </w:tc>
        <w:tc>
          <w:tcPr>
            <w:tcW w:w="1254" w:type="dxa"/>
            <w:tcBorders>
              <w:top w:val="single" w:sz="8" w:space="0" w:color="AEAEAE"/>
              <w:left w:val="nil"/>
              <w:bottom w:val="single" w:sz="8" w:space="0" w:color="152935"/>
              <w:right w:val="nil"/>
            </w:tcBorders>
            <w:shd w:val="clear" w:color="auto" w:fill="auto"/>
          </w:tcPr>
          <w:p w14:paraId="4CD08787" w14:textId="77777777" w:rsidR="00174C4E" w:rsidRPr="00174C4E" w:rsidRDefault="00174C4E" w:rsidP="007B1BDB">
            <w:pPr>
              <w:autoSpaceDE w:val="0"/>
              <w:autoSpaceDN w:val="0"/>
              <w:adjustRightInd w:val="0"/>
              <w:spacing w:after="0" w:line="360" w:lineRule="auto"/>
              <w:ind w:left="60" w:right="60"/>
              <w:jc w:val="left"/>
              <w:rPr>
                <w:rFonts w:ascii="Arial" w:hAnsi="Arial" w:cs="Arial"/>
                <w:sz w:val="18"/>
                <w:szCs w:val="18"/>
              </w:rPr>
            </w:pPr>
            <w:r w:rsidRPr="00174C4E">
              <w:rPr>
                <w:rFonts w:ascii="Arial" w:hAnsi="Arial" w:cs="Arial"/>
                <w:sz w:val="18"/>
                <w:szCs w:val="18"/>
              </w:rPr>
              <w:t>Remittance</w:t>
            </w:r>
          </w:p>
        </w:tc>
        <w:tc>
          <w:tcPr>
            <w:tcW w:w="1330" w:type="dxa"/>
            <w:tcBorders>
              <w:top w:val="single" w:sz="8" w:space="0" w:color="AEAEAE"/>
              <w:left w:val="nil"/>
              <w:bottom w:val="single" w:sz="8" w:space="0" w:color="152935"/>
              <w:right w:val="single" w:sz="8" w:space="0" w:color="E0E0E0"/>
            </w:tcBorders>
            <w:shd w:val="clear" w:color="auto" w:fill="auto"/>
          </w:tcPr>
          <w:p w14:paraId="76EC2F50"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.160</w:t>
            </w:r>
          </w:p>
        </w:tc>
        <w:tc>
          <w:tcPr>
            <w:tcW w:w="1330" w:type="dxa"/>
            <w:tcBorders>
              <w:top w:val="single" w:sz="8" w:space="0" w:color="AEAEAE"/>
              <w:left w:val="single" w:sz="8" w:space="0" w:color="E0E0E0"/>
              <w:bottom w:val="single" w:sz="8" w:space="0" w:color="152935"/>
              <w:right w:val="single" w:sz="8" w:space="0" w:color="E0E0E0"/>
            </w:tcBorders>
            <w:shd w:val="clear" w:color="auto" w:fill="auto"/>
          </w:tcPr>
          <w:p w14:paraId="5DE01821"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.042</w:t>
            </w:r>
          </w:p>
        </w:tc>
        <w:tc>
          <w:tcPr>
            <w:tcW w:w="1468" w:type="dxa"/>
            <w:tcBorders>
              <w:top w:val="single" w:sz="8" w:space="0" w:color="AEAEAE"/>
              <w:left w:val="single" w:sz="8" w:space="0" w:color="E0E0E0"/>
              <w:bottom w:val="single" w:sz="8" w:space="0" w:color="152935"/>
              <w:right w:val="single" w:sz="8" w:space="0" w:color="E0E0E0"/>
            </w:tcBorders>
            <w:shd w:val="clear" w:color="auto" w:fill="auto"/>
          </w:tcPr>
          <w:p w14:paraId="790AA4CB"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.291</w:t>
            </w:r>
          </w:p>
        </w:tc>
        <w:tc>
          <w:tcPr>
            <w:tcW w:w="1024" w:type="dxa"/>
            <w:tcBorders>
              <w:top w:val="single" w:sz="8" w:space="0" w:color="AEAEAE"/>
              <w:left w:val="single" w:sz="8" w:space="0" w:color="E0E0E0"/>
              <w:bottom w:val="single" w:sz="8" w:space="0" w:color="152935"/>
              <w:right w:val="single" w:sz="8" w:space="0" w:color="E0E0E0"/>
            </w:tcBorders>
            <w:shd w:val="clear" w:color="auto" w:fill="auto"/>
          </w:tcPr>
          <w:p w14:paraId="2860F4C9"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3.771</w:t>
            </w:r>
          </w:p>
        </w:tc>
        <w:tc>
          <w:tcPr>
            <w:tcW w:w="1024" w:type="dxa"/>
            <w:tcBorders>
              <w:top w:val="single" w:sz="8" w:space="0" w:color="AEAEAE"/>
              <w:left w:val="single" w:sz="8" w:space="0" w:color="E0E0E0"/>
              <w:bottom w:val="single" w:sz="8" w:space="0" w:color="152935"/>
              <w:right w:val="nil"/>
            </w:tcBorders>
            <w:shd w:val="clear" w:color="auto" w:fill="auto"/>
          </w:tcPr>
          <w:p w14:paraId="2A9B925F" w14:textId="77777777" w:rsidR="00174C4E" w:rsidRPr="00174C4E" w:rsidRDefault="00174C4E" w:rsidP="007B1BDB">
            <w:pPr>
              <w:autoSpaceDE w:val="0"/>
              <w:autoSpaceDN w:val="0"/>
              <w:adjustRightInd w:val="0"/>
              <w:spacing w:after="0" w:line="360" w:lineRule="auto"/>
              <w:ind w:left="60" w:right="60"/>
              <w:jc w:val="right"/>
              <w:rPr>
                <w:rFonts w:ascii="Arial" w:hAnsi="Arial" w:cs="Arial"/>
                <w:sz w:val="18"/>
                <w:szCs w:val="18"/>
              </w:rPr>
            </w:pPr>
            <w:r w:rsidRPr="00174C4E">
              <w:rPr>
                <w:rFonts w:ascii="Arial" w:hAnsi="Arial" w:cs="Arial"/>
                <w:sz w:val="18"/>
                <w:szCs w:val="18"/>
              </w:rPr>
              <w:t>.000</w:t>
            </w:r>
          </w:p>
        </w:tc>
      </w:tr>
      <w:tr w:rsidR="00174C4E" w:rsidRPr="00174C4E" w14:paraId="095B4F83" w14:textId="77777777" w:rsidTr="00174C4E">
        <w:trPr>
          <w:cantSplit/>
        </w:trPr>
        <w:tc>
          <w:tcPr>
            <w:tcW w:w="8164" w:type="dxa"/>
            <w:gridSpan w:val="7"/>
            <w:tcBorders>
              <w:top w:val="nil"/>
              <w:left w:val="nil"/>
              <w:bottom w:val="nil"/>
              <w:right w:val="nil"/>
            </w:tcBorders>
            <w:shd w:val="clear" w:color="auto" w:fill="auto"/>
          </w:tcPr>
          <w:p w14:paraId="327338EB" w14:textId="0B42D360" w:rsidR="00174C4E" w:rsidRPr="00174C4E" w:rsidRDefault="00174C4E" w:rsidP="007B1BDB">
            <w:pPr>
              <w:autoSpaceDE w:val="0"/>
              <w:autoSpaceDN w:val="0"/>
              <w:adjustRightInd w:val="0"/>
              <w:spacing w:after="0" w:line="360" w:lineRule="auto"/>
              <w:ind w:left="60" w:right="60"/>
              <w:jc w:val="left"/>
              <w:rPr>
                <w:rFonts w:ascii="Arial" w:hAnsi="Arial" w:cs="Arial"/>
                <w:sz w:val="18"/>
                <w:szCs w:val="18"/>
              </w:rPr>
            </w:pPr>
            <w:r w:rsidRPr="00174C4E">
              <w:rPr>
                <w:rFonts w:ascii="Arial" w:hAnsi="Arial" w:cs="Arial"/>
                <w:sz w:val="18"/>
                <w:szCs w:val="18"/>
              </w:rPr>
              <w:t>a. Dependent Variable: Household</w:t>
            </w:r>
            <w:r>
              <w:rPr>
                <w:rFonts w:ascii="Arial" w:hAnsi="Arial" w:cs="Arial"/>
                <w:sz w:val="18"/>
                <w:szCs w:val="18"/>
              </w:rPr>
              <w:t xml:space="preserve"> </w:t>
            </w:r>
            <w:r w:rsidRPr="00174C4E">
              <w:rPr>
                <w:rFonts w:ascii="Arial" w:hAnsi="Arial" w:cs="Arial"/>
                <w:sz w:val="18"/>
                <w:szCs w:val="18"/>
              </w:rPr>
              <w:t>Economy</w:t>
            </w:r>
          </w:p>
        </w:tc>
      </w:tr>
    </w:tbl>
    <w:p w14:paraId="0A6C4AF1" w14:textId="58B4BF94" w:rsidR="00823C19" w:rsidRDefault="00823C19" w:rsidP="007B1BDB">
      <w:pPr>
        <w:spacing w:before="240" w:line="360" w:lineRule="auto"/>
        <w:jc w:val="left"/>
        <w:rPr>
          <w:rFonts w:eastAsia="Times New Roman" w:cs="Times New Roman"/>
          <w:color w:val="auto"/>
          <w:szCs w:val="24"/>
        </w:rPr>
      </w:pPr>
      <w:r>
        <w:rPr>
          <w:rFonts w:eastAsia="Times New Roman" w:cs="Times New Roman"/>
          <w:color w:val="auto"/>
          <w:szCs w:val="24"/>
        </w:rPr>
        <w:t xml:space="preserve"> Fig-4.28: Coefficients table</w:t>
      </w:r>
    </w:p>
    <w:p w14:paraId="66780C26" w14:textId="0F1DEF26" w:rsidR="00174C4E" w:rsidRPr="00174C4E" w:rsidRDefault="00174C4E" w:rsidP="007B1BDB">
      <w:pPr>
        <w:spacing w:before="240" w:line="360" w:lineRule="auto"/>
        <w:jc w:val="left"/>
        <w:rPr>
          <w:rFonts w:eastAsia="Times New Roman" w:cs="Times New Roman"/>
          <w:color w:val="auto"/>
          <w:szCs w:val="24"/>
        </w:rPr>
      </w:pPr>
      <w:r w:rsidRPr="00174C4E">
        <w:rPr>
          <w:rFonts w:eastAsia="Times New Roman" w:cs="Times New Roman"/>
          <w:color w:val="auto"/>
          <w:szCs w:val="24"/>
        </w:rPr>
        <w:t>The coefficients table presents the impact of remittance on household economy in the regression model. The constant term (B = 2.096) represents the expected value of household economy when remittance is zero. The coefficient for remittance (B = 0.160) indicates that for every unit increase in remittance, the household economy is expected to increase by 0.160 units. This relationship is statistically significant, as indicated by the t-value of 3.771 and a p-value of 0.000.</w:t>
      </w:r>
    </w:p>
    <w:p w14:paraId="3C760189" w14:textId="77777777" w:rsidR="00174C4E" w:rsidRPr="00174C4E" w:rsidRDefault="00174C4E" w:rsidP="007B1BDB">
      <w:pPr>
        <w:spacing w:line="360" w:lineRule="auto"/>
        <w:jc w:val="left"/>
        <w:rPr>
          <w:rFonts w:eastAsia="Times New Roman" w:cs="Times New Roman"/>
          <w:color w:val="auto"/>
          <w:szCs w:val="24"/>
        </w:rPr>
      </w:pPr>
      <w:r w:rsidRPr="00174C4E">
        <w:rPr>
          <w:rFonts w:eastAsia="Times New Roman" w:cs="Times New Roman"/>
          <w:color w:val="auto"/>
          <w:szCs w:val="24"/>
        </w:rPr>
        <w:t>The standardized coefficient (Beta = 0.291) shows the strength of the relationship between remittance and household economy when compared to other variables in the model. In summary, these findings suggest that remittance positively influences household economic outcomes, with higher remittance amounts associated with higher household economic activity.</w:t>
      </w:r>
    </w:p>
    <w:p w14:paraId="3EE0926B" w14:textId="77777777" w:rsidR="00174C4E" w:rsidRDefault="00174C4E" w:rsidP="007B1BDB">
      <w:pPr>
        <w:autoSpaceDE w:val="0"/>
        <w:autoSpaceDN w:val="0"/>
        <w:adjustRightInd w:val="0"/>
        <w:spacing w:before="240" w:after="0" w:line="360" w:lineRule="auto"/>
        <w:rPr>
          <w:rFonts w:cs="Times New Roman"/>
          <w:color w:val="auto"/>
          <w:szCs w:val="24"/>
        </w:rPr>
      </w:pPr>
      <w:r w:rsidRPr="00174C4E">
        <w:rPr>
          <w:rFonts w:cs="Times New Roman"/>
          <w:color w:val="auto"/>
          <w:szCs w:val="24"/>
        </w:rPr>
        <w:lastRenderedPageBreak/>
        <w:t>The coefficients from the regression analysis show that both the constant term and remittance have significant impacts on the household economy. The constant term (2.096) represents the expected value of the household economy when remittance is zero. The coefficient for remittance (0.160) indicates that for every unit increase in remittance, the household economy is expected to increase by 0.160 units. This relationship is statistically significant with a t-value of 3.771 and a p-value of 0.000, suggesting that the effect of remittance on household economy is unlikely to be due to random chance. The standardized coefficient (Beta) of 0.291 indicates the strength of this relationship relative to other variables in the model. Overall, these findings suggest that remittances positively influence household economic outcomes, supporting the idea that remittance inflows contribute to improved economic conditions in households.</w:t>
      </w:r>
    </w:p>
    <w:p w14:paraId="30A282AD" w14:textId="77777777" w:rsidR="0007681F" w:rsidRPr="0007681F" w:rsidRDefault="0007681F" w:rsidP="007B1BDB">
      <w:pPr>
        <w:pStyle w:val="Heading2"/>
      </w:pPr>
      <w:bookmarkStart w:id="29" w:name="_Toc171485439"/>
      <w:r w:rsidRPr="0007681F">
        <w:t>Findings</w:t>
      </w:r>
      <w:bookmarkEnd w:id="29"/>
    </w:p>
    <w:p w14:paraId="657C04CE" w14:textId="77777777" w:rsidR="0007681F" w:rsidRPr="0007681F" w:rsidRDefault="0007681F" w:rsidP="007B1BDB">
      <w:pPr>
        <w:pStyle w:val="ListParagraph"/>
        <w:numPr>
          <w:ilvl w:val="0"/>
          <w:numId w:val="5"/>
        </w:numPr>
        <w:autoSpaceDE w:val="0"/>
        <w:autoSpaceDN w:val="0"/>
        <w:adjustRightInd w:val="0"/>
        <w:spacing w:line="360" w:lineRule="auto"/>
        <w:jc w:val="both"/>
      </w:pPr>
      <w:r w:rsidRPr="0007681F">
        <w:t xml:space="preserve">Majority of households in Arjun </w:t>
      </w:r>
      <w:proofErr w:type="spellStart"/>
      <w:r w:rsidRPr="0007681F">
        <w:t>Chaupari</w:t>
      </w:r>
      <w:proofErr w:type="spellEnd"/>
      <w:r w:rsidRPr="0007681F">
        <w:t xml:space="preserve"> Rural Municipality rely heavily on remittance as their primary source of income.</w:t>
      </w:r>
    </w:p>
    <w:p w14:paraId="61D14A7F" w14:textId="77777777" w:rsidR="0007681F" w:rsidRPr="0007681F" w:rsidRDefault="0007681F" w:rsidP="007B1BDB">
      <w:pPr>
        <w:pStyle w:val="ListParagraph"/>
        <w:numPr>
          <w:ilvl w:val="0"/>
          <w:numId w:val="5"/>
        </w:numPr>
        <w:autoSpaceDE w:val="0"/>
        <w:autoSpaceDN w:val="0"/>
        <w:adjustRightInd w:val="0"/>
        <w:spacing w:line="360" w:lineRule="auto"/>
        <w:jc w:val="both"/>
      </w:pPr>
      <w:r w:rsidRPr="0007681F">
        <w:t>Remittances are received regularly, mainly from family members working in India, Gulf countries, and Malaysia.</w:t>
      </w:r>
    </w:p>
    <w:p w14:paraId="3523C70C" w14:textId="77777777" w:rsidR="0007681F" w:rsidRPr="0007681F" w:rsidRDefault="0007681F" w:rsidP="007B1BDB">
      <w:pPr>
        <w:pStyle w:val="ListParagraph"/>
        <w:numPr>
          <w:ilvl w:val="0"/>
          <w:numId w:val="5"/>
        </w:numPr>
        <w:autoSpaceDE w:val="0"/>
        <w:autoSpaceDN w:val="0"/>
        <w:adjustRightInd w:val="0"/>
        <w:spacing w:line="360" w:lineRule="auto"/>
        <w:jc w:val="both"/>
      </w:pPr>
      <w:r w:rsidRPr="0007681F">
        <w:t>Remittances are primarily used for basic needs (food, clothing, shelter), education, healthcare, savings, debt repayment, and social/cultural expenditures.</w:t>
      </w:r>
    </w:p>
    <w:p w14:paraId="3897FA31" w14:textId="77777777" w:rsidR="0007681F" w:rsidRPr="0007681F" w:rsidRDefault="0007681F" w:rsidP="007B1BDB">
      <w:pPr>
        <w:pStyle w:val="ListParagraph"/>
        <w:numPr>
          <w:ilvl w:val="0"/>
          <w:numId w:val="5"/>
        </w:numPr>
        <w:autoSpaceDE w:val="0"/>
        <w:autoSpaceDN w:val="0"/>
        <w:adjustRightInd w:val="0"/>
        <w:spacing w:line="360" w:lineRule="auto"/>
        <w:jc w:val="both"/>
      </w:pPr>
      <w:r w:rsidRPr="0007681F">
        <w:t>Significant improvements in living standards, including better housing, access to education, and healthcare services.</w:t>
      </w:r>
    </w:p>
    <w:p w14:paraId="3965F3AE" w14:textId="77777777" w:rsidR="0007681F" w:rsidRPr="0007681F" w:rsidRDefault="0007681F" w:rsidP="007B1BDB">
      <w:pPr>
        <w:pStyle w:val="ListParagraph"/>
        <w:numPr>
          <w:ilvl w:val="0"/>
          <w:numId w:val="5"/>
        </w:numPr>
        <w:autoSpaceDE w:val="0"/>
        <w:autoSpaceDN w:val="0"/>
        <w:adjustRightInd w:val="0"/>
        <w:spacing w:line="360" w:lineRule="auto"/>
        <w:jc w:val="both"/>
      </w:pPr>
      <w:r w:rsidRPr="0007681F">
        <w:t>Issues in managing remittance include lack of financial literacy, limited access to banking services, and social pressures to spend on non-productive activities.</w:t>
      </w:r>
    </w:p>
    <w:p w14:paraId="485DD987" w14:textId="174237CD" w:rsidR="00174C4E" w:rsidRPr="0007681F" w:rsidRDefault="0007681F" w:rsidP="007B1BDB">
      <w:pPr>
        <w:pStyle w:val="ListParagraph"/>
        <w:numPr>
          <w:ilvl w:val="0"/>
          <w:numId w:val="5"/>
        </w:numPr>
        <w:autoSpaceDE w:val="0"/>
        <w:autoSpaceDN w:val="0"/>
        <w:adjustRightInd w:val="0"/>
        <w:spacing w:line="360" w:lineRule="auto"/>
        <w:jc w:val="both"/>
      </w:pPr>
      <w:r w:rsidRPr="0007681F">
        <w:t>Overall satisfaction with the positive impact of remittance on household economy, though concerns about dependency and misuse of funds exist.</w:t>
      </w:r>
    </w:p>
    <w:p w14:paraId="6BA2307B" w14:textId="3391A0AD" w:rsidR="00174C4E" w:rsidRDefault="00174C4E" w:rsidP="007B1BDB">
      <w:pPr>
        <w:spacing w:line="360" w:lineRule="auto"/>
        <w:jc w:val="left"/>
        <w:rPr>
          <w:rFonts w:eastAsia="Times New Roman" w:cs="Times New Roman"/>
          <w:color w:val="auto"/>
          <w:szCs w:val="24"/>
        </w:rPr>
      </w:pPr>
    </w:p>
    <w:p w14:paraId="74CDCCC2" w14:textId="6857D6E1" w:rsidR="00174C4E" w:rsidRDefault="00174C4E" w:rsidP="007B1BDB">
      <w:pPr>
        <w:spacing w:line="360" w:lineRule="auto"/>
        <w:jc w:val="left"/>
        <w:rPr>
          <w:rFonts w:eastAsia="Times New Roman" w:cs="Times New Roman"/>
          <w:color w:val="auto"/>
          <w:szCs w:val="24"/>
        </w:rPr>
      </w:pPr>
    </w:p>
    <w:p w14:paraId="0CDB5EB7" w14:textId="116B0839" w:rsidR="0007681F" w:rsidRDefault="0007681F" w:rsidP="007B1BDB">
      <w:pPr>
        <w:spacing w:line="360" w:lineRule="auto"/>
        <w:jc w:val="left"/>
        <w:rPr>
          <w:rFonts w:eastAsia="Times New Roman" w:cs="Times New Roman"/>
          <w:color w:val="auto"/>
          <w:szCs w:val="24"/>
        </w:rPr>
      </w:pPr>
      <w:r>
        <w:rPr>
          <w:rFonts w:eastAsia="Times New Roman" w:cs="Times New Roman"/>
          <w:color w:val="auto"/>
          <w:szCs w:val="24"/>
        </w:rPr>
        <w:br w:type="page"/>
      </w:r>
    </w:p>
    <w:p w14:paraId="68A13016" w14:textId="40784576" w:rsidR="0007681F" w:rsidRDefault="0007681F" w:rsidP="007B1BDB">
      <w:pPr>
        <w:pStyle w:val="Heading1"/>
      </w:pPr>
      <w:bookmarkStart w:id="30" w:name="_Toc171485440"/>
      <w:r>
        <w:lastRenderedPageBreak/>
        <w:t>CHAPTER V</w:t>
      </w:r>
      <w:r>
        <w:br/>
        <w:t>DISCUSSIONS AND CONCLUSION</w:t>
      </w:r>
      <w:bookmarkEnd w:id="30"/>
    </w:p>
    <w:p w14:paraId="49010AEC" w14:textId="5D4CDC02" w:rsidR="0007681F" w:rsidRDefault="0007681F" w:rsidP="007B1BDB">
      <w:pPr>
        <w:pStyle w:val="Heading2"/>
        <w:rPr>
          <w:color w:val="auto"/>
          <w:sz w:val="27"/>
        </w:rPr>
      </w:pPr>
      <w:bookmarkStart w:id="31" w:name="_Toc171485441"/>
      <w:r>
        <w:t>Discussion</w:t>
      </w:r>
      <w:bookmarkEnd w:id="31"/>
    </w:p>
    <w:p w14:paraId="480CD454" w14:textId="25E8CF0B" w:rsidR="0007681F" w:rsidRDefault="0007681F" w:rsidP="007B1BDB">
      <w:pPr>
        <w:pStyle w:val="NormalWeb"/>
        <w:spacing w:line="360" w:lineRule="auto"/>
        <w:jc w:val="both"/>
      </w:pPr>
      <w:r>
        <w:t xml:space="preserve">In comparing the findings of this study with existing literature, it is evident that remittance significantly contributes to household income and poverty reduction. </w:t>
      </w:r>
      <w:proofErr w:type="spellStart"/>
      <w:r w:rsidR="007B1BDB" w:rsidRPr="007B1BDB">
        <w:t>Masron</w:t>
      </w:r>
      <w:proofErr w:type="spellEnd"/>
      <w:r w:rsidR="007B1BDB" w:rsidRPr="007B1BDB">
        <w:t xml:space="preserve"> &amp; Subramaniam, </w:t>
      </w:r>
      <w:r w:rsidR="007B1BDB">
        <w:t>(</w:t>
      </w:r>
      <w:r w:rsidR="007B1BDB" w:rsidRPr="007B1BDB">
        <w:t>2018)</w:t>
      </w:r>
      <w:r>
        <w:t xml:space="preserve"> found that remittance increases household income and reduces poverty, which aligns with the observed reliance on remittance in Arjun </w:t>
      </w:r>
      <w:proofErr w:type="spellStart"/>
      <w:r>
        <w:t>Chaupari</w:t>
      </w:r>
      <w:proofErr w:type="spellEnd"/>
      <w:r>
        <w:t xml:space="preserve"> Rural Municipality. Remittance has helped these households meet their daily needs and improve their living standards, supporting the findings of </w:t>
      </w:r>
      <w:r w:rsidR="007B1BDB" w:rsidRPr="007B1BDB">
        <w:t xml:space="preserve">Mishra et al., </w:t>
      </w:r>
      <w:r w:rsidR="007B1BDB">
        <w:t>(</w:t>
      </w:r>
      <w:r w:rsidR="007B1BDB" w:rsidRPr="007B1BDB">
        <w:t>2022</w:t>
      </w:r>
      <w:r>
        <w:t>).</w:t>
      </w:r>
    </w:p>
    <w:p w14:paraId="2F3A7721" w14:textId="44CA44B6" w:rsidR="0007681F" w:rsidRDefault="0007681F" w:rsidP="007B1BDB">
      <w:pPr>
        <w:pStyle w:val="NormalWeb"/>
        <w:spacing w:line="360" w:lineRule="auto"/>
        <w:jc w:val="both"/>
      </w:pPr>
      <w:r>
        <w:t xml:space="preserve">The study also confirms that remittance is frequently used for basic needs, education, and healthcare, similar to the findings of </w:t>
      </w:r>
      <w:r w:rsidR="007B1BDB" w:rsidRPr="007B1BDB">
        <w:t xml:space="preserve">Zaman et al., </w:t>
      </w:r>
      <w:r w:rsidR="007B1BDB">
        <w:t>(</w:t>
      </w:r>
      <w:r w:rsidR="007B1BDB" w:rsidRPr="007B1BDB">
        <w:t>2021)</w:t>
      </w:r>
      <w:r w:rsidR="007B1BDB">
        <w:t xml:space="preserve"> </w:t>
      </w:r>
      <w:r>
        <w:t xml:space="preserve">and </w:t>
      </w:r>
      <w:r w:rsidR="00CC0263" w:rsidRPr="00CC0263">
        <w:t xml:space="preserve">Chaudhary, </w:t>
      </w:r>
      <w:r w:rsidR="00CC0263">
        <w:t>(</w:t>
      </w:r>
      <w:r w:rsidR="00CC0263" w:rsidRPr="00CC0263">
        <w:t>2020)</w:t>
      </w:r>
      <w:r w:rsidR="00CC0263">
        <w:t xml:space="preserve">. </w:t>
      </w:r>
      <w:r>
        <w:t xml:space="preserve">These expenditures reflect the essential role of remittance in enhancing access to education and healthcare, further corroborated by studies from </w:t>
      </w:r>
      <w:r w:rsidR="00CC0263" w:rsidRPr="00CC0263">
        <w:t xml:space="preserve">Kapri &amp; Jha, </w:t>
      </w:r>
      <w:r w:rsidR="00CC0263">
        <w:t>(</w:t>
      </w:r>
      <w:r w:rsidR="00CC0263" w:rsidRPr="00CC0263">
        <w:t xml:space="preserve">2020) </w:t>
      </w:r>
      <w:r>
        <w:t xml:space="preserve">and </w:t>
      </w:r>
      <w:r w:rsidR="00CC0263" w:rsidRPr="00CC0263">
        <w:t xml:space="preserve">Adhikari, </w:t>
      </w:r>
      <w:r w:rsidR="00CC0263">
        <w:t>(</w:t>
      </w:r>
      <w:r w:rsidR="00CC0263" w:rsidRPr="00CC0263">
        <w:t>2021)</w:t>
      </w:r>
    </w:p>
    <w:p w14:paraId="21EBF38D" w14:textId="029341EF" w:rsidR="0007681F" w:rsidRDefault="0007681F" w:rsidP="007B1BDB">
      <w:pPr>
        <w:pStyle w:val="NormalWeb"/>
        <w:spacing w:line="360" w:lineRule="auto"/>
        <w:jc w:val="both"/>
      </w:pPr>
      <w:r>
        <w:t xml:space="preserve">However, challenges in managing remittance, such as financial literacy and access to banking services, are </w:t>
      </w:r>
      <w:r w:rsidR="00CC0263">
        <w:t>prominent</w:t>
      </w:r>
      <w:r>
        <w:t xml:space="preserve">. </w:t>
      </w:r>
      <w:r w:rsidR="00CC0263" w:rsidRPr="00CC0263">
        <w:t xml:space="preserve">Shrestha, </w:t>
      </w:r>
      <w:r w:rsidR="00CC0263">
        <w:t>(</w:t>
      </w:r>
      <w:r w:rsidR="00CC0263" w:rsidRPr="00CC0263">
        <w:t xml:space="preserve">2020) </w:t>
      </w:r>
      <w:r>
        <w:t>have highlighted the importance of financial literacy in effectively managing remittance. This study's findings on the lack of financial literacy and limited banking access align with the literature, indicating a need for targeted interventions to improve financial management skills among remittance-receiving households.</w:t>
      </w:r>
    </w:p>
    <w:p w14:paraId="19B36548" w14:textId="17F21327" w:rsidR="0007681F" w:rsidRDefault="0007681F" w:rsidP="007B1BDB">
      <w:pPr>
        <w:pStyle w:val="NormalWeb"/>
        <w:spacing w:line="360" w:lineRule="auto"/>
        <w:jc w:val="both"/>
      </w:pPr>
      <w:r>
        <w:t xml:space="preserve">Social pressures to spend remittance on non-productive activities, such as cultural events, also emerged as a significant challenge. This finding is consistent with the work </w:t>
      </w:r>
      <w:r w:rsidR="00CC0263">
        <w:t xml:space="preserve">of </w:t>
      </w:r>
      <w:r w:rsidR="00CC0263" w:rsidRPr="00CC0263">
        <w:t xml:space="preserve">Magar, </w:t>
      </w:r>
      <w:r w:rsidR="00CC0263">
        <w:t>(</w:t>
      </w:r>
      <w:r w:rsidR="00CC0263" w:rsidRPr="00CC0263">
        <w:t>2023)</w:t>
      </w:r>
      <w:r>
        <w:t xml:space="preserve"> who discussed how cultural practices can influence the use of remittance. These pressures can lead to the misuse of funds, undermining the potential benefits of remittance for long-term economic stability.</w:t>
      </w:r>
    </w:p>
    <w:p w14:paraId="12413108" w14:textId="09F2006A" w:rsidR="0007681F" w:rsidRDefault="0007681F" w:rsidP="007B1BDB">
      <w:pPr>
        <w:pStyle w:val="NormalWeb"/>
        <w:spacing w:line="360" w:lineRule="auto"/>
        <w:jc w:val="both"/>
      </w:pPr>
      <w:r>
        <w:t xml:space="preserve">Despite these challenges, households in Arjun </w:t>
      </w:r>
      <w:proofErr w:type="spellStart"/>
      <w:r>
        <w:t>Chaupari</w:t>
      </w:r>
      <w:proofErr w:type="spellEnd"/>
      <w:r>
        <w:t xml:space="preserve"> Rural Municipality reported overall satisfaction with the positive impact of remittance on their economy. This satisfaction mirrors the general consensus in the literature that remittance plays a crucial </w:t>
      </w:r>
      <w:r>
        <w:lastRenderedPageBreak/>
        <w:t xml:space="preserve">role in improving household welfare and reducing economic vulnerabilities, as discussed by </w:t>
      </w:r>
      <w:r w:rsidR="00CC0263" w:rsidRPr="00CC0263">
        <w:t xml:space="preserve">Tiwari, </w:t>
      </w:r>
      <w:r w:rsidR="00CC0263">
        <w:t>(</w:t>
      </w:r>
      <w:r w:rsidR="00CC0263" w:rsidRPr="00CC0263">
        <w:t xml:space="preserve">2022) </w:t>
      </w:r>
      <w:r>
        <w:t xml:space="preserve">However, the concern about dependency on remittance, as </w:t>
      </w:r>
      <w:r w:rsidR="00CC0263">
        <w:t>shown</w:t>
      </w:r>
      <w:r>
        <w:t xml:space="preserve"> by </w:t>
      </w:r>
      <w:r w:rsidR="00CC0263" w:rsidRPr="00CC0263">
        <w:t>(Khanal, 2020)</w:t>
      </w:r>
      <w:r w:rsidR="00CC0263">
        <w:t xml:space="preserve">, </w:t>
      </w:r>
      <w:r>
        <w:t>remains a critical issue that needs to be addressed to ensure sustainable economic development.</w:t>
      </w:r>
    </w:p>
    <w:p w14:paraId="6A02CA62" w14:textId="77777777" w:rsidR="0007681F" w:rsidRDefault="0007681F" w:rsidP="007B1BDB">
      <w:pPr>
        <w:pStyle w:val="Heading2"/>
      </w:pPr>
      <w:bookmarkStart w:id="32" w:name="_Toc171485442"/>
      <w:r>
        <w:t>Conclusion</w:t>
      </w:r>
      <w:bookmarkEnd w:id="32"/>
    </w:p>
    <w:p w14:paraId="081B0093" w14:textId="77777777" w:rsidR="0007681F" w:rsidRDefault="0007681F" w:rsidP="007B1BDB">
      <w:pPr>
        <w:pStyle w:val="NormalWeb"/>
        <w:spacing w:line="360" w:lineRule="auto"/>
        <w:jc w:val="both"/>
      </w:pPr>
      <w:r>
        <w:t xml:space="preserve">In conclusion, remittance significantly impacts the household economy in Arjun </w:t>
      </w:r>
      <w:proofErr w:type="spellStart"/>
      <w:r>
        <w:t>Chaupari</w:t>
      </w:r>
      <w:proofErr w:type="spellEnd"/>
      <w:r>
        <w:t xml:space="preserve"> Rural Municipality by improving income, living standards, and access to education and healthcare. However, challenges such as financial literacy, limited banking access, and social pressures hinder the effective use of remittance. Addressing these challenges through targeted interventions can enhance the benefits of remittance, reduce dependency, and promote sustainable economic development. Overall, the findings highlight the importance of remittance in supporting household economies but also underscore the need for better financial management and support systems.</w:t>
      </w:r>
    </w:p>
    <w:p w14:paraId="0EF1BB42" w14:textId="77777777" w:rsidR="0007681F" w:rsidRDefault="0007681F" w:rsidP="007B1BDB">
      <w:pPr>
        <w:pStyle w:val="Heading2"/>
      </w:pPr>
      <w:bookmarkStart w:id="33" w:name="_Toc171485443"/>
      <w:r>
        <w:t>Implications</w:t>
      </w:r>
      <w:bookmarkEnd w:id="33"/>
    </w:p>
    <w:p w14:paraId="7FBE6A3C" w14:textId="77777777" w:rsidR="0007681F" w:rsidRDefault="0007681F" w:rsidP="00A83E8B">
      <w:pPr>
        <w:pStyle w:val="Heading3"/>
      </w:pPr>
      <w:bookmarkStart w:id="34" w:name="_Toc171485444"/>
      <w:r w:rsidRPr="0007681F">
        <w:t>Academic Implications</w:t>
      </w:r>
      <w:bookmarkEnd w:id="34"/>
    </w:p>
    <w:p w14:paraId="6AA97AC3" w14:textId="10B4B633" w:rsidR="0007681F" w:rsidRDefault="0007681F" w:rsidP="007B1BDB">
      <w:pPr>
        <w:spacing w:line="360" w:lineRule="auto"/>
      </w:pPr>
      <w:r>
        <w:t>This study adds to the existing body of knowledge on the role of remittance in rural economies. It provides empirical evidence on the impact of remittance on household income, expenditure, and living standards in a specific context. Future research can build on these findings to explore long-term effects and develop strategies to improve remittance management.</w:t>
      </w:r>
    </w:p>
    <w:p w14:paraId="3D3CD173" w14:textId="3F60515B" w:rsidR="0007681F" w:rsidRDefault="0007681F" w:rsidP="00A83E8B">
      <w:pPr>
        <w:pStyle w:val="Heading3"/>
      </w:pPr>
      <w:bookmarkStart w:id="35" w:name="_Toc171485445"/>
      <w:r w:rsidRPr="0007681F">
        <w:t>Policy Implications</w:t>
      </w:r>
      <w:bookmarkEnd w:id="35"/>
    </w:p>
    <w:p w14:paraId="02D775FE" w14:textId="27D8A4F3" w:rsidR="0007681F" w:rsidRDefault="0007681F" w:rsidP="007B1BDB">
      <w:pPr>
        <w:spacing w:line="360" w:lineRule="auto"/>
      </w:pPr>
      <w:r>
        <w:t>Policymakers should focus on improving financial literacy and access to banking services in rural areas. Programs that provide financial education and promote savings and investment can help households use remittance more effectively. Additionally, policies that address social pressures and encourage productive use of remittance can enhance its positive impact on local economies.</w:t>
      </w:r>
    </w:p>
    <w:p w14:paraId="522724FC" w14:textId="77777777" w:rsidR="00174C4E" w:rsidRDefault="00174C4E" w:rsidP="007B1BDB">
      <w:pPr>
        <w:spacing w:line="360" w:lineRule="auto"/>
        <w:rPr>
          <w:rFonts w:eastAsia="Times New Roman" w:cs="Times New Roman"/>
          <w:color w:val="auto"/>
          <w:szCs w:val="24"/>
        </w:rPr>
      </w:pPr>
    </w:p>
    <w:p w14:paraId="33CEC310" w14:textId="4B56477C" w:rsidR="004C6A1B" w:rsidRDefault="004C6A1B" w:rsidP="007B1BDB">
      <w:pPr>
        <w:spacing w:line="360" w:lineRule="auto"/>
        <w:jc w:val="left"/>
        <w:rPr>
          <w:rFonts w:eastAsia="Times New Roman" w:cs="Times New Roman"/>
          <w:color w:val="auto"/>
          <w:szCs w:val="24"/>
        </w:rPr>
      </w:pPr>
      <w:r>
        <w:rPr>
          <w:rFonts w:eastAsia="Times New Roman" w:cs="Times New Roman"/>
          <w:color w:val="auto"/>
          <w:szCs w:val="24"/>
        </w:rPr>
        <w:br w:type="page"/>
      </w:r>
    </w:p>
    <w:p w14:paraId="0D7C6343" w14:textId="1F517470" w:rsidR="00E905FC" w:rsidRPr="00E905FC" w:rsidRDefault="00E905FC" w:rsidP="007B1BDB">
      <w:pPr>
        <w:pStyle w:val="Heading1"/>
      </w:pPr>
      <w:bookmarkStart w:id="36" w:name="_Toc171485446"/>
      <w:r w:rsidRPr="00E905FC">
        <w:lastRenderedPageBreak/>
        <w:t>REFERENCES</w:t>
      </w:r>
      <w:bookmarkEnd w:id="36"/>
    </w:p>
    <w:p w14:paraId="77F8C48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Abduvaliev</w:t>
      </w:r>
      <w:proofErr w:type="spellEnd"/>
      <w:r w:rsidRPr="00E905FC">
        <w:rPr>
          <w:rFonts w:eastAsia="Times New Roman" w:cs="Times New Roman"/>
          <w:color w:val="000000"/>
          <w:szCs w:val="24"/>
        </w:rPr>
        <w:t>, M., &amp; Bustillo, R. (2020). Impact of remittances on economic growth and poverty reduction amongst CIS countries. </w:t>
      </w:r>
      <w:r w:rsidRPr="00E905FC">
        <w:rPr>
          <w:rFonts w:eastAsia="Times New Roman" w:cs="Times New Roman"/>
          <w:i/>
          <w:iCs/>
          <w:color w:val="000000"/>
          <w:szCs w:val="24"/>
        </w:rPr>
        <w:t>Post-Communist Economies</w:t>
      </w:r>
      <w:r w:rsidRPr="00E905FC">
        <w:rPr>
          <w:rFonts w:eastAsia="Times New Roman" w:cs="Times New Roman"/>
          <w:color w:val="000000"/>
          <w:szCs w:val="24"/>
        </w:rPr>
        <w:t>, </w:t>
      </w:r>
      <w:r w:rsidRPr="00E905FC">
        <w:rPr>
          <w:rFonts w:eastAsia="Times New Roman" w:cs="Times New Roman"/>
          <w:i/>
          <w:iCs/>
          <w:color w:val="000000"/>
          <w:szCs w:val="24"/>
        </w:rPr>
        <w:t>32</w:t>
      </w:r>
      <w:r w:rsidRPr="00E905FC">
        <w:rPr>
          <w:rFonts w:eastAsia="Times New Roman" w:cs="Times New Roman"/>
          <w:color w:val="000000"/>
          <w:szCs w:val="24"/>
        </w:rPr>
        <w:t>(4), 525–546. https://doi.org/10.1080/14631377.2019.1678094</w:t>
      </w:r>
    </w:p>
    <w:p w14:paraId="1D992C71"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Acharya, C. P., &amp; Leon-Gonzalez, R. (2012). </w:t>
      </w:r>
      <w:r w:rsidRPr="00E905FC">
        <w:rPr>
          <w:rFonts w:eastAsia="Times New Roman" w:cs="Times New Roman"/>
          <w:i/>
          <w:iCs/>
          <w:color w:val="000000"/>
          <w:szCs w:val="24"/>
        </w:rPr>
        <w:t>The impact of remittance on poverty and inequality: A micro-simulation study for Nepal</w:t>
      </w:r>
      <w:r w:rsidRPr="00E905FC">
        <w:rPr>
          <w:rFonts w:eastAsia="Times New Roman" w:cs="Times New Roman"/>
          <w:color w:val="000000"/>
          <w:szCs w:val="24"/>
        </w:rPr>
        <w:t>. GRIPS Discussion Papers.</w:t>
      </w:r>
    </w:p>
    <w:p w14:paraId="184AAF03"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Acharya, M., &amp; Paudel, G. (2021). Effect of Remittances on economic growth in Nepal. </w:t>
      </w:r>
      <w:r w:rsidRPr="00E905FC">
        <w:rPr>
          <w:rFonts w:eastAsia="Times New Roman" w:cs="Times New Roman"/>
          <w:i/>
          <w:iCs/>
          <w:color w:val="000000"/>
          <w:szCs w:val="24"/>
        </w:rPr>
        <w:t>The Lumbini Journal of Business and Economics</w:t>
      </w:r>
      <w:r w:rsidRPr="00E905FC">
        <w:rPr>
          <w:rFonts w:eastAsia="Times New Roman" w:cs="Times New Roman"/>
          <w:color w:val="000000"/>
          <w:szCs w:val="24"/>
        </w:rPr>
        <w:t>, </w:t>
      </w:r>
      <w:r w:rsidRPr="00E905FC">
        <w:rPr>
          <w:rFonts w:eastAsia="Times New Roman" w:cs="Times New Roman"/>
          <w:i/>
          <w:iCs/>
          <w:color w:val="000000"/>
          <w:szCs w:val="24"/>
        </w:rPr>
        <w:t>9</w:t>
      </w:r>
      <w:r w:rsidRPr="00E905FC">
        <w:rPr>
          <w:rFonts w:eastAsia="Times New Roman" w:cs="Times New Roman"/>
          <w:color w:val="000000"/>
          <w:szCs w:val="24"/>
        </w:rPr>
        <w:t>(1–2), 1–10. https://doi.org/10.3126/ljbe.v9i1-2.45983</w:t>
      </w:r>
    </w:p>
    <w:p w14:paraId="0428D644"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Adeseye</w:t>
      </w:r>
      <w:proofErr w:type="spellEnd"/>
      <w:r w:rsidRPr="00E905FC">
        <w:rPr>
          <w:rFonts w:eastAsia="Times New Roman" w:cs="Times New Roman"/>
          <w:color w:val="000000"/>
          <w:szCs w:val="24"/>
        </w:rPr>
        <w:t>, A. (2021). The effect of migrants remittance on economy growth in Nigeria: An empirical study. </w:t>
      </w:r>
      <w:r w:rsidRPr="00E905FC">
        <w:rPr>
          <w:rFonts w:eastAsia="Times New Roman" w:cs="Times New Roman"/>
          <w:i/>
          <w:iCs/>
          <w:color w:val="000000"/>
          <w:szCs w:val="24"/>
        </w:rPr>
        <w:t>Open Journal of Political Science</w:t>
      </w:r>
      <w:r w:rsidRPr="00E905FC">
        <w:rPr>
          <w:rFonts w:eastAsia="Times New Roman" w:cs="Times New Roman"/>
          <w:color w:val="000000"/>
          <w:szCs w:val="24"/>
        </w:rPr>
        <w:t>, </w:t>
      </w:r>
      <w:r w:rsidRPr="00E905FC">
        <w:rPr>
          <w:rFonts w:eastAsia="Times New Roman" w:cs="Times New Roman"/>
          <w:i/>
          <w:iCs/>
          <w:color w:val="000000"/>
          <w:szCs w:val="24"/>
        </w:rPr>
        <w:t>11</w:t>
      </w:r>
      <w:r w:rsidRPr="00E905FC">
        <w:rPr>
          <w:rFonts w:eastAsia="Times New Roman" w:cs="Times New Roman"/>
          <w:color w:val="000000"/>
          <w:szCs w:val="24"/>
        </w:rPr>
        <w:t>(01), 99–122. https://doi.org/10.4236/ojps.2021.111007</w:t>
      </w:r>
    </w:p>
    <w:p w14:paraId="2DB0AFD1"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Adhikari, M. (2023). Impact of remittance on gross domestic savings in Nepal. </w:t>
      </w:r>
      <w:r w:rsidRPr="00E905FC">
        <w:rPr>
          <w:rFonts w:eastAsia="Times New Roman" w:cs="Times New Roman"/>
          <w:i/>
          <w:iCs/>
          <w:color w:val="000000"/>
          <w:szCs w:val="24"/>
        </w:rPr>
        <w:t>Nepal Journal of Multidisciplinary Research</w:t>
      </w:r>
      <w:r w:rsidRPr="00E905FC">
        <w:rPr>
          <w:rFonts w:eastAsia="Times New Roman" w:cs="Times New Roman"/>
          <w:color w:val="000000"/>
          <w:szCs w:val="24"/>
        </w:rPr>
        <w:t>, </w:t>
      </w:r>
      <w:r w:rsidRPr="00E905FC">
        <w:rPr>
          <w:rFonts w:eastAsia="Times New Roman" w:cs="Times New Roman"/>
          <w:i/>
          <w:iCs/>
          <w:color w:val="000000"/>
          <w:szCs w:val="24"/>
        </w:rPr>
        <w:t>6</w:t>
      </w:r>
      <w:r w:rsidRPr="00E905FC">
        <w:rPr>
          <w:rFonts w:eastAsia="Times New Roman" w:cs="Times New Roman"/>
          <w:color w:val="000000"/>
          <w:szCs w:val="24"/>
        </w:rPr>
        <w:t>(2), 58–73. https://doi.org/10.3126/njmr.v6i2.57202</w:t>
      </w:r>
    </w:p>
    <w:p w14:paraId="6E55B8D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Adhikari, R., Mishra, A. K., &amp; Aithal, P. S. (2024). Impact of remittance on rural areas livelihood: A case of </w:t>
      </w:r>
      <w:proofErr w:type="spellStart"/>
      <w:r w:rsidRPr="00E905FC">
        <w:rPr>
          <w:rFonts w:eastAsia="Times New Roman" w:cs="Times New Roman"/>
          <w:color w:val="000000"/>
          <w:szCs w:val="24"/>
        </w:rPr>
        <w:t>tilottama</w:t>
      </w:r>
      <w:proofErr w:type="spellEnd"/>
      <w:r w:rsidRPr="00E905FC">
        <w:rPr>
          <w:rFonts w:eastAsia="Times New Roman" w:cs="Times New Roman"/>
          <w:color w:val="000000"/>
          <w:szCs w:val="24"/>
        </w:rPr>
        <w:t xml:space="preserve">, </w:t>
      </w:r>
      <w:proofErr w:type="spellStart"/>
      <w:r w:rsidRPr="00E905FC">
        <w:rPr>
          <w:rFonts w:eastAsia="Times New Roman" w:cs="Times New Roman"/>
          <w:color w:val="000000"/>
          <w:szCs w:val="24"/>
        </w:rPr>
        <w:t>rupandehi</w:t>
      </w:r>
      <w:proofErr w:type="spellEnd"/>
      <w:r w:rsidRPr="00E905FC">
        <w:rPr>
          <w:rFonts w:eastAsia="Times New Roman" w:cs="Times New Roman"/>
          <w:color w:val="000000"/>
          <w:szCs w:val="24"/>
        </w:rPr>
        <w:t>, Nepal. </w:t>
      </w:r>
      <w:r w:rsidRPr="00E905FC">
        <w:rPr>
          <w:rFonts w:eastAsia="Times New Roman" w:cs="Times New Roman"/>
          <w:i/>
          <w:iCs/>
          <w:color w:val="000000"/>
          <w:szCs w:val="24"/>
        </w:rPr>
        <w:t>International Journal of Applied Engineering and Management Letters</w:t>
      </w:r>
      <w:r w:rsidRPr="00E905FC">
        <w:rPr>
          <w:rFonts w:eastAsia="Times New Roman" w:cs="Times New Roman"/>
          <w:color w:val="000000"/>
          <w:szCs w:val="24"/>
        </w:rPr>
        <w:t>, 113–130. https://doi.org/10.47992/ijaeml.2581.7000.0225</w:t>
      </w:r>
    </w:p>
    <w:p w14:paraId="69A12117"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Adhikari, S. (2020). Managing Remittance And Agricultural Development In Nepal A Case Of Policy Dereliction? In </w:t>
      </w:r>
      <w:r w:rsidRPr="00E905FC">
        <w:rPr>
          <w:rFonts w:eastAsia="Times New Roman" w:cs="Times New Roman"/>
          <w:i/>
          <w:iCs/>
          <w:color w:val="000000"/>
          <w:szCs w:val="24"/>
        </w:rPr>
        <w:t>The Migration Conference 2020 Proceedings: Migration and Politics</w:t>
      </w:r>
      <w:r w:rsidRPr="00E905FC">
        <w:rPr>
          <w:rFonts w:eastAsia="Times New Roman" w:cs="Times New Roman"/>
          <w:color w:val="000000"/>
          <w:szCs w:val="24"/>
        </w:rPr>
        <w:t> (pp. 45–56). Transnational Press London.</w:t>
      </w:r>
    </w:p>
    <w:p w14:paraId="657F5B7A"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Adhikari, S. (2023). </w:t>
      </w:r>
      <w:proofErr w:type="spellStart"/>
      <w:r w:rsidRPr="00E905FC">
        <w:rPr>
          <w:rFonts w:eastAsia="Times New Roman" w:cs="Times New Roman"/>
          <w:i/>
          <w:iCs/>
          <w:color w:val="000000"/>
          <w:szCs w:val="24"/>
        </w:rPr>
        <w:t>Labour</w:t>
      </w:r>
      <w:proofErr w:type="spellEnd"/>
      <w:r w:rsidRPr="00E905FC">
        <w:rPr>
          <w:rFonts w:eastAsia="Times New Roman" w:cs="Times New Roman"/>
          <w:i/>
          <w:iCs/>
          <w:color w:val="000000"/>
          <w:szCs w:val="24"/>
        </w:rPr>
        <w:t xml:space="preserve"> migration as a development strategy: policy lessons from the Philippines and Kerala (India) for Nepal (Doctoral dissertation)</w:t>
      </w:r>
      <w:r w:rsidRPr="00E905FC">
        <w:rPr>
          <w:rFonts w:eastAsia="Times New Roman" w:cs="Times New Roman"/>
          <w:color w:val="000000"/>
          <w:szCs w:val="24"/>
        </w:rPr>
        <w:t>.</w:t>
      </w:r>
    </w:p>
    <w:p w14:paraId="61E53547"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Adhikari, S., &amp; Vince, J. (2023). Leveraging Labor Migration and Migrant Remittances in Nepal. In </w:t>
      </w:r>
      <w:r w:rsidRPr="00E905FC">
        <w:rPr>
          <w:rFonts w:eastAsia="Times New Roman" w:cs="Times New Roman"/>
          <w:i/>
          <w:iCs/>
          <w:color w:val="000000"/>
          <w:szCs w:val="24"/>
        </w:rPr>
        <w:t xml:space="preserve">Environmental migration in the face of emerging </w:t>
      </w:r>
      <w:r w:rsidRPr="00E905FC">
        <w:rPr>
          <w:rFonts w:eastAsia="Times New Roman" w:cs="Times New Roman"/>
          <w:i/>
          <w:iCs/>
          <w:color w:val="000000"/>
          <w:szCs w:val="24"/>
        </w:rPr>
        <w:lastRenderedPageBreak/>
        <w:t>risks: Historical case studies, new paradigms and future directions</w:t>
      </w:r>
      <w:r w:rsidRPr="00E905FC">
        <w:rPr>
          <w:rFonts w:eastAsia="Times New Roman" w:cs="Times New Roman"/>
          <w:color w:val="000000"/>
          <w:szCs w:val="24"/>
        </w:rPr>
        <w:t> (pp. 77–98). Springer International Publishing.</w:t>
      </w:r>
    </w:p>
    <w:p w14:paraId="3139DC74"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Ahmed, J., Mughal, M., &amp; Martínez-</w:t>
      </w:r>
      <w:proofErr w:type="spellStart"/>
      <w:r w:rsidRPr="00E905FC">
        <w:rPr>
          <w:rFonts w:eastAsia="Times New Roman" w:cs="Times New Roman"/>
          <w:color w:val="000000"/>
          <w:szCs w:val="24"/>
        </w:rPr>
        <w:t>Zarzoso</w:t>
      </w:r>
      <w:proofErr w:type="spellEnd"/>
      <w:r w:rsidRPr="00E905FC">
        <w:rPr>
          <w:rFonts w:eastAsia="Times New Roman" w:cs="Times New Roman"/>
          <w:color w:val="000000"/>
          <w:szCs w:val="24"/>
        </w:rPr>
        <w:t>, I. (2021). Sending money home: Transaction cost and remittances to developing countries. </w:t>
      </w:r>
      <w:r w:rsidRPr="00E905FC">
        <w:rPr>
          <w:rFonts w:eastAsia="Times New Roman" w:cs="Times New Roman"/>
          <w:i/>
          <w:iCs/>
          <w:color w:val="000000"/>
          <w:szCs w:val="24"/>
        </w:rPr>
        <w:t>World Economy</w:t>
      </w:r>
      <w:r w:rsidRPr="00E905FC">
        <w:rPr>
          <w:rFonts w:eastAsia="Times New Roman" w:cs="Times New Roman"/>
          <w:color w:val="000000"/>
          <w:szCs w:val="24"/>
        </w:rPr>
        <w:t>, </w:t>
      </w:r>
      <w:r w:rsidRPr="00E905FC">
        <w:rPr>
          <w:rFonts w:eastAsia="Times New Roman" w:cs="Times New Roman"/>
          <w:i/>
          <w:iCs/>
          <w:color w:val="000000"/>
          <w:szCs w:val="24"/>
        </w:rPr>
        <w:t>44</w:t>
      </w:r>
      <w:r w:rsidRPr="00E905FC">
        <w:rPr>
          <w:rFonts w:eastAsia="Times New Roman" w:cs="Times New Roman"/>
          <w:color w:val="000000"/>
          <w:szCs w:val="24"/>
        </w:rPr>
        <w:t>(8), 2433–2459. https://doi.org/10.1111/twec.13110</w:t>
      </w:r>
    </w:p>
    <w:p w14:paraId="13CB2B0E"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Ali, O. J. (2011). Optimizing the concept of sustainable livelihoods approach (SLA) to Poverty reduction in </w:t>
      </w:r>
      <w:proofErr w:type="spellStart"/>
      <w:r w:rsidRPr="00E905FC">
        <w:rPr>
          <w:rFonts w:eastAsia="Times New Roman" w:cs="Times New Roman"/>
          <w:color w:val="000000"/>
          <w:szCs w:val="24"/>
        </w:rPr>
        <w:t>african</w:t>
      </w:r>
      <w:proofErr w:type="spellEnd"/>
      <w:r w:rsidRPr="00E905FC">
        <w:rPr>
          <w:rFonts w:eastAsia="Times New Roman" w:cs="Times New Roman"/>
          <w:color w:val="000000"/>
          <w:szCs w:val="24"/>
        </w:rPr>
        <w:t xml:space="preserve"> urban areas. </w:t>
      </w:r>
      <w:r w:rsidRPr="00E905FC">
        <w:rPr>
          <w:rFonts w:eastAsia="Times New Roman" w:cs="Times New Roman"/>
          <w:i/>
          <w:iCs/>
          <w:color w:val="000000"/>
          <w:szCs w:val="24"/>
        </w:rPr>
        <w:t>Journal of Social Science and Public Policy</w:t>
      </w:r>
      <w:r w:rsidRPr="00E905FC">
        <w:rPr>
          <w:rFonts w:eastAsia="Times New Roman" w:cs="Times New Roman"/>
          <w:color w:val="000000"/>
          <w:szCs w:val="24"/>
        </w:rPr>
        <w:t>, </w:t>
      </w:r>
      <w:r w:rsidRPr="00E905FC">
        <w:rPr>
          <w:rFonts w:eastAsia="Times New Roman" w:cs="Times New Roman"/>
          <w:i/>
          <w:iCs/>
          <w:color w:val="000000"/>
          <w:szCs w:val="24"/>
        </w:rPr>
        <w:t>3</w:t>
      </w:r>
      <w:r w:rsidRPr="00E905FC">
        <w:rPr>
          <w:rFonts w:eastAsia="Times New Roman" w:cs="Times New Roman"/>
          <w:color w:val="000000"/>
          <w:szCs w:val="24"/>
        </w:rPr>
        <w:t>, 87–98.</w:t>
      </w:r>
    </w:p>
    <w:p w14:paraId="743F748D"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Amuedo</w:t>
      </w:r>
      <w:proofErr w:type="spellEnd"/>
      <w:r w:rsidRPr="00E905FC">
        <w:rPr>
          <w:rFonts w:eastAsia="Times New Roman" w:cs="Times New Roman"/>
          <w:color w:val="000000"/>
          <w:szCs w:val="24"/>
        </w:rPr>
        <w:t>-Dorantes, C., &amp; Pozo, S. (2011). New evidence on the role of remittances on healthcare expenditures by Mexican households. </w:t>
      </w:r>
      <w:r w:rsidRPr="00E905FC">
        <w:rPr>
          <w:rFonts w:eastAsia="Times New Roman" w:cs="Times New Roman"/>
          <w:i/>
          <w:iCs/>
          <w:color w:val="000000"/>
          <w:szCs w:val="24"/>
        </w:rPr>
        <w:t>Review of Economics of the Household</w:t>
      </w:r>
      <w:r w:rsidRPr="00E905FC">
        <w:rPr>
          <w:rFonts w:eastAsia="Times New Roman" w:cs="Times New Roman"/>
          <w:color w:val="000000"/>
          <w:szCs w:val="24"/>
        </w:rPr>
        <w:t>, </w:t>
      </w:r>
      <w:r w:rsidRPr="00E905FC">
        <w:rPr>
          <w:rFonts w:eastAsia="Times New Roman" w:cs="Times New Roman"/>
          <w:i/>
          <w:iCs/>
          <w:color w:val="000000"/>
          <w:szCs w:val="24"/>
        </w:rPr>
        <w:t>9</w:t>
      </w:r>
      <w:r w:rsidRPr="00E905FC">
        <w:rPr>
          <w:rFonts w:eastAsia="Times New Roman" w:cs="Times New Roman"/>
          <w:color w:val="000000"/>
          <w:szCs w:val="24"/>
        </w:rPr>
        <w:t>(1), 69–98. https://doi.org/10.1007/s11150-009-9080-7</w:t>
      </w:r>
    </w:p>
    <w:p w14:paraId="41673577"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Anamoa-Pokoo</w:t>
      </w:r>
      <w:proofErr w:type="spellEnd"/>
      <w:r w:rsidRPr="00E905FC">
        <w:rPr>
          <w:rFonts w:eastAsia="Times New Roman" w:cs="Times New Roman"/>
          <w:color w:val="000000"/>
          <w:szCs w:val="24"/>
        </w:rPr>
        <w:t>, S. (2016). </w:t>
      </w:r>
      <w:r w:rsidRPr="00E905FC">
        <w:rPr>
          <w:rFonts w:eastAsia="Times New Roman" w:cs="Times New Roman"/>
          <w:i/>
          <w:iCs/>
          <w:color w:val="000000"/>
          <w:szCs w:val="24"/>
        </w:rPr>
        <w:t xml:space="preserve">Remittances and social expenditures of migrant households in the </w:t>
      </w:r>
      <w:proofErr w:type="spellStart"/>
      <w:r w:rsidRPr="00E905FC">
        <w:rPr>
          <w:rFonts w:eastAsia="Times New Roman" w:cs="Times New Roman"/>
          <w:i/>
          <w:iCs/>
          <w:color w:val="000000"/>
          <w:szCs w:val="24"/>
        </w:rPr>
        <w:t>Ekumfi</w:t>
      </w:r>
      <w:proofErr w:type="spellEnd"/>
      <w:r w:rsidRPr="00E905FC">
        <w:rPr>
          <w:rFonts w:eastAsia="Times New Roman" w:cs="Times New Roman"/>
          <w:i/>
          <w:iCs/>
          <w:color w:val="000000"/>
          <w:szCs w:val="24"/>
        </w:rPr>
        <w:t xml:space="preserve"> District (Doctoral dissertation)</w:t>
      </w:r>
      <w:r w:rsidRPr="00E905FC">
        <w:rPr>
          <w:rFonts w:eastAsia="Times New Roman" w:cs="Times New Roman"/>
          <w:color w:val="000000"/>
          <w:szCs w:val="24"/>
        </w:rPr>
        <w:t>.</w:t>
      </w:r>
    </w:p>
    <w:p w14:paraId="2F7AF3F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Aregbeshola</w:t>
      </w:r>
      <w:proofErr w:type="spellEnd"/>
      <w:r w:rsidRPr="00E905FC">
        <w:rPr>
          <w:rFonts w:eastAsia="Times New Roman" w:cs="Times New Roman"/>
          <w:color w:val="000000"/>
          <w:szCs w:val="24"/>
        </w:rPr>
        <w:t>, R. A. (2022). Interplay of poverty, remittances and human capital development: Panel evidence from selected Sub‐Saharan African countries. </w:t>
      </w:r>
      <w:r w:rsidRPr="00E905FC">
        <w:rPr>
          <w:rFonts w:eastAsia="Times New Roman" w:cs="Times New Roman"/>
          <w:i/>
          <w:iCs/>
          <w:color w:val="000000"/>
          <w:szCs w:val="24"/>
        </w:rPr>
        <w:t>International Migration (Geneva, Switzerland)</w:t>
      </w:r>
      <w:r w:rsidRPr="00E905FC">
        <w:rPr>
          <w:rFonts w:eastAsia="Times New Roman" w:cs="Times New Roman"/>
          <w:color w:val="000000"/>
          <w:szCs w:val="24"/>
        </w:rPr>
        <w:t>, </w:t>
      </w:r>
      <w:r w:rsidRPr="00E905FC">
        <w:rPr>
          <w:rFonts w:eastAsia="Times New Roman" w:cs="Times New Roman"/>
          <w:i/>
          <w:iCs/>
          <w:color w:val="000000"/>
          <w:szCs w:val="24"/>
        </w:rPr>
        <w:t>60</w:t>
      </w:r>
      <w:r w:rsidRPr="00E905FC">
        <w:rPr>
          <w:rFonts w:eastAsia="Times New Roman" w:cs="Times New Roman"/>
          <w:color w:val="000000"/>
          <w:szCs w:val="24"/>
        </w:rPr>
        <w:t>(6), 250–271. https://doi.org/10.1111/imig.12986</w:t>
      </w:r>
    </w:p>
    <w:p w14:paraId="1AEE2D7D"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Arif, I., Raza, S. A., Friemann, A., &amp; Suleman, M. T. (2019). The role of remittances in the development of higher education: Evidence from top remittance receiving countries. </w:t>
      </w:r>
      <w:r w:rsidRPr="00E905FC">
        <w:rPr>
          <w:rFonts w:eastAsia="Times New Roman" w:cs="Times New Roman"/>
          <w:i/>
          <w:iCs/>
          <w:color w:val="000000"/>
          <w:szCs w:val="24"/>
        </w:rPr>
        <w:t>Social Indicators Research</w:t>
      </w:r>
      <w:r w:rsidRPr="00E905FC">
        <w:rPr>
          <w:rFonts w:eastAsia="Times New Roman" w:cs="Times New Roman"/>
          <w:color w:val="000000"/>
          <w:szCs w:val="24"/>
        </w:rPr>
        <w:t>, </w:t>
      </w:r>
      <w:r w:rsidRPr="00E905FC">
        <w:rPr>
          <w:rFonts w:eastAsia="Times New Roman" w:cs="Times New Roman"/>
          <w:i/>
          <w:iCs/>
          <w:color w:val="000000"/>
          <w:szCs w:val="24"/>
        </w:rPr>
        <w:t>141</w:t>
      </w:r>
      <w:r w:rsidRPr="00E905FC">
        <w:rPr>
          <w:rFonts w:eastAsia="Times New Roman" w:cs="Times New Roman"/>
          <w:color w:val="000000"/>
          <w:szCs w:val="24"/>
        </w:rPr>
        <w:t>(3), 1233–1243. https://doi.org/10.1007/s11205-018-1857-8</w:t>
      </w:r>
    </w:p>
    <w:p w14:paraId="3E53D752"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Azam, M. (2015). The role of migrant workers remittances in fostering economic growth: The four Asian developing countries’ experiences. </w:t>
      </w:r>
      <w:r w:rsidRPr="00E905FC">
        <w:rPr>
          <w:rFonts w:eastAsia="Times New Roman" w:cs="Times New Roman"/>
          <w:i/>
          <w:iCs/>
          <w:color w:val="000000"/>
          <w:szCs w:val="24"/>
        </w:rPr>
        <w:t>International Journal of Social Economics</w:t>
      </w:r>
      <w:r w:rsidRPr="00E905FC">
        <w:rPr>
          <w:rFonts w:eastAsia="Times New Roman" w:cs="Times New Roman"/>
          <w:color w:val="000000"/>
          <w:szCs w:val="24"/>
        </w:rPr>
        <w:t>, </w:t>
      </w:r>
      <w:r w:rsidRPr="00E905FC">
        <w:rPr>
          <w:rFonts w:eastAsia="Times New Roman" w:cs="Times New Roman"/>
          <w:i/>
          <w:iCs/>
          <w:color w:val="000000"/>
          <w:szCs w:val="24"/>
        </w:rPr>
        <w:t>42</w:t>
      </w:r>
      <w:r w:rsidRPr="00E905FC">
        <w:rPr>
          <w:rFonts w:eastAsia="Times New Roman" w:cs="Times New Roman"/>
          <w:color w:val="000000"/>
          <w:szCs w:val="24"/>
        </w:rPr>
        <w:t>(8), 690–705.</w:t>
      </w:r>
    </w:p>
    <w:p w14:paraId="3178467F"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Baidoo, S. T., Yusif, H., &amp; </w:t>
      </w:r>
      <w:proofErr w:type="spellStart"/>
      <w:r w:rsidRPr="00E905FC">
        <w:rPr>
          <w:rFonts w:eastAsia="Times New Roman" w:cs="Times New Roman"/>
          <w:color w:val="000000"/>
          <w:szCs w:val="24"/>
        </w:rPr>
        <w:t>Ayesu</w:t>
      </w:r>
      <w:proofErr w:type="spellEnd"/>
      <w:r w:rsidRPr="00E905FC">
        <w:rPr>
          <w:rFonts w:eastAsia="Times New Roman" w:cs="Times New Roman"/>
          <w:color w:val="000000"/>
          <w:szCs w:val="24"/>
        </w:rPr>
        <w:t>, E. K. (2020). Improving loan repayment in Ghana: Does financial literacy matter? </w:t>
      </w:r>
      <w:r w:rsidRPr="00E905FC">
        <w:rPr>
          <w:rFonts w:eastAsia="Times New Roman" w:cs="Times New Roman"/>
          <w:i/>
          <w:iCs/>
          <w:color w:val="000000"/>
          <w:szCs w:val="24"/>
        </w:rPr>
        <w:t>Cogent Economics &amp; Finance</w:t>
      </w:r>
      <w:r w:rsidRPr="00E905FC">
        <w:rPr>
          <w:rFonts w:eastAsia="Times New Roman" w:cs="Times New Roman"/>
          <w:color w:val="000000"/>
          <w:szCs w:val="24"/>
        </w:rPr>
        <w:t>, </w:t>
      </w:r>
      <w:r w:rsidRPr="00E905FC">
        <w:rPr>
          <w:rFonts w:eastAsia="Times New Roman" w:cs="Times New Roman"/>
          <w:i/>
          <w:iCs/>
          <w:color w:val="000000"/>
          <w:szCs w:val="24"/>
        </w:rPr>
        <w:t>8</w:t>
      </w:r>
      <w:r w:rsidRPr="00E905FC">
        <w:rPr>
          <w:rFonts w:eastAsia="Times New Roman" w:cs="Times New Roman"/>
          <w:color w:val="000000"/>
          <w:szCs w:val="24"/>
        </w:rPr>
        <w:t>(1), 1787693. https://doi.org/10.1080/23322039.2020.1787693</w:t>
      </w:r>
    </w:p>
    <w:p w14:paraId="6E354A94"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lastRenderedPageBreak/>
        <w:t>Baldé, Y. (2011). The impact of remittances and foreign aid on savings/investment in sub-Saharan Africa: Impact of remittances and foreign aid on savings. </w:t>
      </w:r>
      <w:r w:rsidRPr="00E905FC">
        <w:rPr>
          <w:rFonts w:eastAsia="Times New Roman" w:cs="Times New Roman"/>
          <w:i/>
          <w:iCs/>
          <w:color w:val="000000"/>
          <w:szCs w:val="24"/>
        </w:rPr>
        <w:t xml:space="preserve">Revue </w:t>
      </w:r>
      <w:proofErr w:type="spellStart"/>
      <w:r w:rsidRPr="00E905FC">
        <w:rPr>
          <w:rFonts w:eastAsia="Times New Roman" w:cs="Times New Roman"/>
          <w:i/>
          <w:iCs/>
          <w:color w:val="000000"/>
          <w:szCs w:val="24"/>
        </w:rPr>
        <w:t>Africaine</w:t>
      </w:r>
      <w:proofErr w:type="spellEnd"/>
      <w:r w:rsidRPr="00E905FC">
        <w:rPr>
          <w:rFonts w:eastAsia="Times New Roman" w:cs="Times New Roman"/>
          <w:i/>
          <w:iCs/>
          <w:color w:val="000000"/>
          <w:szCs w:val="24"/>
        </w:rPr>
        <w:t xml:space="preserve"> de </w:t>
      </w:r>
      <w:proofErr w:type="spellStart"/>
      <w:r w:rsidRPr="00E905FC">
        <w:rPr>
          <w:rFonts w:eastAsia="Times New Roman" w:cs="Times New Roman"/>
          <w:i/>
          <w:iCs/>
          <w:color w:val="000000"/>
          <w:szCs w:val="24"/>
        </w:rPr>
        <w:t>Developpement</w:t>
      </w:r>
      <w:proofErr w:type="spellEnd"/>
      <w:r w:rsidRPr="00E905FC">
        <w:rPr>
          <w:rFonts w:eastAsia="Times New Roman" w:cs="Times New Roman"/>
          <w:i/>
          <w:iCs/>
          <w:color w:val="000000"/>
          <w:szCs w:val="24"/>
        </w:rPr>
        <w:t xml:space="preserve"> [African Development Review]</w:t>
      </w:r>
      <w:r w:rsidRPr="00E905FC">
        <w:rPr>
          <w:rFonts w:eastAsia="Times New Roman" w:cs="Times New Roman"/>
          <w:color w:val="000000"/>
          <w:szCs w:val="24"/>
        </w:rPr>
        <w:t>, </w:t>
      </w:r>
      <w:r w:rsidRPr="00E905FC">
        <w:rPr>
          <w:rFonts w:eastAsia="Times New Roman" w:cs="Times New Roman"/>
          <w:i/>
          <w:iCs/>
          <w:color w:val="000000"/>
          <w:szCs w:val="24"/>
        </w:rPr>
        <w:t>23</w:t>
      </w:r>
      <w:r w:rsidRPr="00E905FC">
        <w:rPr>
          <w:rFonts w:eastAsia="Times New Roman" w:cs="Times New Roman"/>
          <w:color w:val="000000"/>
          <w:szCs w:val="24"/>
        </w:rPr>
        <w:t>(2), 247–262. https://doi.org/10.1111/j.1467-8268.2011.00284.x</w:t>
      </w:r>
    </w:p>
    <w:p w14:paraId="0D7B04CF"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Banerjee, S. (2017). </w:t>
      </w:r>
      <w:r w:rsidRPr="00E905FC">
        <w:rPr>
          <w:rFonts w:eastAsia="Times New Roman" w:cs="Times New Roman"/>
          <w:i/>
          <w:iCs/>
          <w:color w:val="000000"/>
          <w:szCs w:val="24"/>
        </w:rPr>
        <w:t xml:space="preserve">Understanding the effects of </w:t>
      </w:r>
      <w:proofErr w:type="spellStart"/>
      <w:r w:rsidRPr="00E905FC">
        <w:rPr>
          <w:rFonts w:eastAsia="Times New Roman" w:cs="Times New Roman"/>
          <w:i/>
          <w:iCs/>
          <w:color w:val="000000"/>
          <w:szCs w:val="24"/>
        </w:rPr>
        <w:t>labour</w:t>
      </w:r>
      <w:proofErr w:type="spellEnd"/>
      <w:r w:rsidRPr="00E905FC">
        <w:rPr>
          <w:rFonts w:eastAsia="Times New Roman" w:cs="Times New Roman"/>
          <w:i/>
          <w:iCs/>
          <w:color w:val="000000"/>
          <w:szCs w:val="24"/>
        </w:rPr>
        <w:t xml:space="preserve"> migration on vulnerability to extreme events in Hindu Kush Himalayas: Case studies from Upper Assam and </w:t>
      </w:r>
      <w:proofErr w:type="spellStart"/>
      <w:r w:rsidRPr="00E905FC">
        <w:rPr>
          <w:rFonts w:eastAsia="Times New Roman" w:cs="Times New Roman"/>
          <w:i/>
          <w:iCs/>
          <w:color w:val="000000"/>
          <w:szCs w:val="24"/>
        </w:rPr>
        <w:t>Baoshan</w:t>
      </w:r>
      <w:proofErr w:type="spellEnd"/>
      <w:r w:rsidRPr="00E905FC">
        <w:rPr>
          <w:rFonts w:eastAsia="Times New Roman" w:cs="Times New Roman"/>
          <w:i/>
          <w:iCs/>
          <w:color w:val="000000"/>
          <w:szCs w:val="24"/>
        </w:rPr>
        <w:t xml:space="preserve"> County (Doctoral dissertation)</w:t>
      </w:r>
      <w:r w:rsidRPr="00E905FC">
        <w:rPr>
          <w:rFonts w:eastAsia="Times New Roman" w:cs="Times New Roman"/>
          <w:color w:val="000000"/>
          <w:szCs w:val="24"/>
        </w:rPr>
        <w:t>.</w:t>
      </w:r>
    </w:p>
    <w:p w14:paraId="4374222F"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Banjara, S., Karki, S., &amp; </w:t>
      </w:r>
      <w:proofErr w:type="spellStart"/>
      <w:r w:rsidRPr="00E905FC">
        <w:rPr>
          <w:rFonts w:eastAsia="Times New Roman" w:cs="Times New Roman"/>
          <w:color w:val="000000"/>
          <w:szCs w:val="24"/>
        </w:rPr>
        <w:t>Dumre</w:t>
      </w:r>
      <w:proofErr w:type="spellEnd"/>
      <w:r w:rsidRPr="00E905FC">
        <w:rPr>
          <w:rFonts w:eastAsia="Times New Roman" w:cs="Times New Roman"/>
          <w:color w:val="000000"/>
          <w:szCs w:val="24"/>
        </w:rPr>
        <w:t>, A. (2020). Assessment of remittance and its impacts on economic growth in Nepal. </w:t>
      </w:r>
      <w:r w:rsidRPr="00E905FC">
        <w:rPr>
          <w:rFonts w:eastAsia="Times New Roman" w:cs="Times New Roman"/>
          <w:i/>
          <w:iCs/>
          <w:color w:val="000000"/>
          <w:szCs w:val="24"/>
        </w:rPr>
        <w:t>Archives of Agriculture and Environmental Science</w:t>
      </w:r>
      <w:r w:rsidRPr="00E905FC">
        <w:rPr>
          <w:rFonts w:eastAsia="Times New Roman" w:cs="Times New Roman"/>
          <w:color w:val="000000"/>
          <w:szCs w:val="24"/>
        </w:rPr>
        <w:t>, </w:t>
      </w:r>
      <w:r w:rsidRPr="00E905FC">
        <w:rPr>
          <w:rFonts w:eastAsia="Times New Roman" w:cs="Times New Roman"/>
          <w:i/>
          <w:iCs/>
          <w:color w:val="000000"/>
          <w:szCs w:val="24"/>
        </w:rPr>
        <w:t>5</w:t>
      </w:r>
      <w:r w:rsidRPr="00E905FC">
        <w:rPr>
          <w:rFonts w:eastAsia="Times New Roman" w:cs="Times New Roman"/>
          <w:color w:val="000000"/>
          <w:szCs w:val="24"/>
        </w:rPr>
        <w:t>(1), 61–66. https://doi.org/10.26832/24566632.2020.050109</w:t>
      </w:r>
    </w:p>
    <w:p w14:paraId="59504CA0"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Bezabh</w:t>
      </w:r>
      <w:proofErr w:type="spellEnd"/>
      <w:r w:rsidRPr="00E905FC">
        <w:rPr>
          <w:rFonts w:eastAsia="Times New Roman" w:cs="Times New Roman"/>
          <w:color w:val="000000"/>
          <w:szCs w:val="24"/>
        </w:rPr>
        <w:t>, G. B., &amp; Kumar, D. B. (2020). The Effect of Remittance on Economic Growth of Eastern African Countries. </w:t>
      </w:r>
      <w:r w:rsidRPr="00E905FC">
        <w:rPr>
          <w:rFonts w:eastAsia="Times New Roman" w:cs="Times New Roman"/>
          <w:i/>
          <w:iCs/>
          <w:color w:val="000000"/>
          <w:szCs w:val="24"/>
        </w:rPr>
        <w:t>International Journal of Social Science &amp; Management Studies (Peer Reviewed &amp; Refereed Research Journal) IJSSMS</w:t>
      </w:r>
      <w:r w:rsidRPr="00E905FC">
        <w:rPr>
          <w:rFonts w:eastAsia="Times New Roman" w:cs="Times New Roman"/>
          <w:color w:val="000000"/>
          <w:szCs w:val="24"/>
        </w:rPr>
        <w:t>, </w:t>
      </w:r>
      <w:r w:rsidRPr="00E905FC">
        <w:rPr>
          <w:rFonts w:eastAsia="Times New Roman" w:cs="Times New Roman"/>
          <w:i/>
          <w:iCs/>
          <w:color w:val="000000"/>
          <w:szCs w:val="24"/>
        </w:rPr>
        <w:t>6</w:t>
      </w:r>
      <w:r w:rsidRPr="00E905FC">
        <w:rPr>
          <w:rFonts w:eastAsia="Times New Roman" w:cs="Times New Roman"/>
          <w:color w:val="000000"/>
          <w:szCs w:val="24"/>
        </w:rPr>
        <w:t>(1).</w:t>
      </w:r>
    </w:p>
    <w:p w14:paraId="78987103"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Bird, G., &amp; Choi, Y. (2020). The effects of remittances, foreign direct investment, and foreign aid on economic growth: An empirical analysis. </w:t>
      </w:r>
      <w:r w:rsidRPr="00E905FC">
        <w:rPr>
          <w:rFonts w:eastAsia="Times New Roman" w:cs="Times New Roman"/>
          <w:i/>
          <w:iCs/>
          <w:color w:val="000000"/>
          <w:szCs w:val="24"/>
        </w:rPr>
        <w:t>Review of Development Economics</w:t>
      </w:r>
      <w:r w:rsidRPr="00E905FC">
        <w:rPr>
          <w:rFonts w:eastAsia="Times New Roman" w:cs="Times New Roman"/>
          <w:color w:val="000000"/>
          <w:szCs w:val="24"/>
        </w:rPr>
        <w:t>, </w:t>
      </w:r>
      <w:r w:rsidRPr="00E905FC">
        <w:rPr>
          <w:rFonts w:eastAsia="Times New Roman" w:cs="Times New Roman"/>
          <w:i/>
          <w:iCs/>
          <w:color w:val="000000"/>
          <w:szCs w:val="24"/>
        </w:rPr>
        <w:t>24</w:t>
      </w:r>
      <w:r w:rsidRPr="00E905FC">
        <w:rPr>
          <w:rFonts w:eastAsia="Times New Roman" w:cs="Times New Roman"/>
          <w:color w:val="000000"/>
          <w:szCs w:val="24"/>
        </w:rPr>
        <w:t>(1), 1–30. https://doi.org/10.1111/rode.12630</w:t>
      </w:r>
    </w:p>
    <w:p w14:paraId="0B34669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Blomqvist, C. (2023). </w:t>
      </w:r>
      <w:r w:rsidRPr="00E905FC">
        <w:rPr>
          <w:rFonts w:eastAsia="Times New Roman" w:cs="Times New Roman"/>
          <w:i/>
          <w:iCs/>
          <w:color w:val="000000"/>
          <w:szCs w:val="24"/>
        </w:rPr>
        <w:t>Female household worker’s own perceptions of remittances as a sustainable livelihood: A case study of migrant domestic workers in Saudi Arabia</w:t>
      </w:r>
      <w:r w:rsidRPr="00E905FC">
        <w:rPr>
          <w:rFonts w:eastAsia="Times New Roman" w:cs="Times New Roman"/>
          <w:color w:val="000000"/>
          <w:szCs w:val="24"/>
        </w:rPr>
        <w:t>.</w:t>
      </w:r>
    </w:p>
    <w:p w14:paraId="74509B46"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Boccagni</w:t>
      </w:r>
      <w:proofErr w:type="spellEnd"/>
      <w:r w:rsidRPr="00E905FC">
        <w:rPr>
          <w:rFonts w:eastAsia="Times New Roman" w:cs="Times New Roman"/>
          <w:color w:val="000000"/>
          <w:szCs w:val="24"/>
        </w:rPr>
        <w:t xml:space="preserve">, P., &amp; </w:t>
      </w:r>
      <w:proofErr w:type="spellStart"/>
      <w:r w:rsidRPr="00E905FC">
        <w:rPr>
          <w:rFonts w:eastAsia="Times New Roman" w:cs="Times New Roman"/>
          <w:color w:val="000000"/>
          <w:szCs w:val="24"/>
        </w:rPr>
        <w:t>Bivand</w:t>
      </w:r>
      <w:proofErr w:type="spellEnd"/>
      <w:r w:rsidRPr="00E905FC">
        <w:rPr>
          <w:rFonts w:eastAsia="Times New Roman" w:cs="Times New Roman"/>
          <w:color w:val="000000"/>
          <w:szCs w:val="24"/>
        </w:rPr>
        <w:t xml:space="preserve"> Erdal, M. (2021). On the theoretical potential of ‘remittance houses’: toward a research agenda across emigration contexts. </w:t>
      </w:r>
      <w:r w:rsidRPr="00E905FC">
        <w:rPr>
          <w:rFonts w:eastAsia="Times New Roman" w:cs="Times New Roman"/>
          <w:i/>
          <w:iCs/>
          <w:color w:val="000000"/>
          <w:szCs w:val="24"/>
        </w:rPr>
        <w:t>Journal of Ethnic and Migration Studies</w:t>
      </w:r>
      <w:r w:rsidRPr="00E905FC">
        <w:rPr>
          <w:rFonts w:eastAsia="Times New Roman" w:cs="Times New Roman"/>
          <w:color w:val="000000"/>
          <w:szCs w:val="24"/>
        </w:rPr>
        <w:t>, </w:t>
      </w:r>
      <w:r w:rsidRPr="00E905FC">
        <w:rPr>
          <w:rFonts w:eastAsia="Times New Roman" w:cs="Times New Roman"/>
          <w:i/>
          <w:iCs/>
          <w:color w:val="000000"/>
          <w:szCs w:val="24"/>
        </w:rPr>
        <w:t>47</w:t>
      </w:r>
      <w:r w:rsidRPr="00E905FC">
        <w:rPr>
          <w:rFonts w:eastAsia="Times New Roman" w:cs="Times New Roman"/>
          <w:color w:val="000000"/>
          <w:szCs w:val="24"/>
        </w:rPr>
        <w:t>(5), 1066–1083. https://doi.org/10.1080/1369183x.2020.1804340</w:t>
      </w:r>
    </w:p>
    <w:p w14:paraId="5361C643"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Carling, J. (2020). Remittances: Eight analytical perspectives. In </w:t>
      </w:r>
      <w:r w:rsidRPr="00E905FC">
        <w:rPr>
          <w:rFonts w:eastAsia="Times New Roman" w:cs="Times New Roman"/>
          <w:i/>
          <w:iCs/>
          <w:color w:val="000000"/>
          <w:szCs w:val="24"/>
        </w:rPr>
        <w:t>Routledge handbook of migration and development</w:t>
      </w:r>
      <w:r w:rsidRPr="00E905FC">
        <w:rPr>
          <w:rFonts w:eastAsia="Times New Roman" w:cs="Times New Roman"/>
          <w:color w:val="000000"/>
          <w:szCs w:val="24"/>
        </w:rPr>
        <w:t> (pp. 114–124).</w:t>
      </w:r>
    </w:p>
    <w:p w14:paraId="68FFDFAA"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lastRenderedPageBreak/>
        <w:t>Chang, W. L., &amp; Benson, V. (2023). Migration and financial transactions: factors influencing mobile remittance service usage in the pandemic. </w:t>
      </w:r>
      <w:r w:rsidRPr="00E905FC">
        <w:rPr>
          <w:rFonts w:eastAsia="Times New Roman" w:cs="Times New Roman"/>
          <w:i/>
          <w:iCs/>
          <w:color w:val="000000"/>
          <w:szCs w:val="24"/>
        </w:rPr>
        <w:t>Information Technology &amp; People</w:t>
      </w:r>
      <w:r w:rsidRPr="00E905FC">
        <w:rPr>
          <w:rFonts w:eastAsia="Times New Roman" w:cs="Times New Roman"/>
          <w:color w:val="000000"/>
          <w:szCs w:val="24"/>
        </w:rPr>
        <w:t>, </w:t>
      </w:r>
      <w:r w:rsidRPr="00E905FC">
        <w:rPr>
          <w:rFonts w:eastAsia="Times New Roman" w:cs="Times New Roman"/>
          <w:i/>
          <w:iCs/>
          <w:color w:val="000000"/>
          <w:szCs w:val="24"/>
        </w:rPr>
        <w:t>36</w:t>
      </w:r>
      <w:r w:rsidRPr="00E905FC">
        <w:rPr>
          <w:rFonts w:eastAsia="Times New Roman" w:cs="Times New Roman"/>
          <w:color w:val="000000"/>
          <w:szCs w:val="24"/>
        </w:rPr>
        <w:t>(5), 2112–2136.</w:t>
      </w:r>
    </w:p>
    <w:p w14:paraId="3B34691B"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Chaudhary, D. (2020). Influence of remittances on Socio-economic development in rural Nepal. </w:t>
      </w:r>
      <w:r w:rsidRPr="00E905FC">
        <w:rPr>
          <w:rFonts w:eastAsia="Times New Roman" w:cs="Times New Roman"/>
          <w:i/>
          <w:iCs/>
          <w:color w:val="000000"/>
          <w:szCs w:val="24"/>
        </w:rPr>
        <w:t>Remittances Review</w:t>
      </w:r>
      <w:r w:rsidRPr="00E905FC">
        <w:rPr>
          <w:rFonts w:eastAsia="Times New Roman" w:cs="Times New Roman"/>
          <w:color w:val="000000"/>
          <w:szCs w:val="24"/>
        </w:rPr>
        <w:t>, </w:t>
      </w:r>
      <w:r w:rsidRPr="00E905FC">
        <w:rPr>
          <w:rFonts w:eastAsia="Times New Roman" w:cs="Times New Roman"/>
          <w:i/>
          <w:iCs/>
          <w:color w:val="000000"/>
          <w:szCs w:val="24"/>
        </w:rPr>
        <w:t>5</w:t>
      </w:r>
      <w:r w:rsidRPr="00E905FC">
        <w:rPr>
          <w:rFonts w:eastAsia="Times New Roman" w:cs="Times New Roman"/>
          <w:color w:val="000000"/>
          <w:szCs w:val="24"/>
        </w:rPr>
        <w:t>(1), 83–96. https://doi.org/10.33182/rr.v5i1.820</w:t>
      </w:r>
    </w:p>
    <w:p w14:paraId="64B0FD4F"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Chaudhary, S. K. (2022). Remittances economic growth and investment nexus: Evidence from Nepal. </w:t>
      </w:r>
      <w:r w:rsidRPr="00E905FC">
        <w:rPr>
          <w:rFonts w:eastAsia="Times New Roman" w:cs="Times New Roman"/>
          <w:i/>
          <w:iCs/>
          <w:color w:val="000000"/>
          <w:szCs w:val="24"/>
        </w:rPr>
        <w:t>NRB Economic Review</w:t>
      </w:r>
      <w:r w:rsidRPr="00E905FC">
        <w:rPr>
          <w:rFonts w:eastAsia="Times New Roman" w:cs="Times New Roman"/>
          <w:color w:val="000000"/>
          <w:szCs w:val="24"/>
        </w:rPr>
        <w:t>, </w:t>
      </w:r>
      <w:r w:rsidRPr="00E905FC">
        <w:rPr>
          <w:rFonts w:eastAsia="Times New Roman" w:cs="Times New Roman"/>
          <w:i/>
          <w:iCs/>
          <w:color w:val="000000"/>
          <w:szCs w:val="24"/>
        </w:rPr>
        <w:t>34</w:t>
      </w:r>
      <w:r w:rsidRPr="00E905FC">
        <w:rPr>
          <w:rFonts w:eastAsia="Times New Roman" w:cs="Times New Roman"/>
          <w:color w:val="000000"/>
          <w:szCs w:val="24"/>
        </w:rPr>
        <w:t>(1), 1–23. https://doi.org/10.3126/nrber.v34i1.47991</w:t>
      </w:r>
    </w:p>
    <w:p w14:paraId="74F2AAFE"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Chezum</w:t>
      </w:r>
      <w:proofErr w:type="spellEnd"/>
      <w:r w:rsidRPr="00E905FC">
        <w:rPr>
          <w:rFonts w:eastAsia="Times New Roman" w:cs="Times New Roman"/>
          <w:color w:val="000000"/>
          <w:szCs w:val="24"/>
        </w:rPr>
        <w:t xml:space="preserve">, B., </w:t>
      </w:r>
      <w:proofErr w:type="spellStart"/>
      <w:r w:rsidRPr="00E905FC">
        <w:rPr>
          <w:rFonts w:eastAsia="Times New Roman" w:cs="Times New Roman"/>
          <w:color w:val="000000"/>
          <w:szCs w:val="24"/>
        </w:rPr>
        <w:t>Bansak</w:t>
      </w:r>
      <w:proofErr w:type="spellEnd"/>
      <w:r w:rsidRPr="00E905FC">
        <w:rPr>
          <w:rFonts w:eastAsia="Times New Roman" w:cs="Times New Roman"/>
          <w:color w:val="000000"/>
          <w:szCs w:val="24"/>
        </w:rPr>
        <w:t>, C., &amp; Giri, A. (2018). Are remittances good for your health? Remittances and Nepal’s national healthcare policy. </w:t>
      </w:r>
      <w:r w:rsidRPr="00E905FC">
        <w:rPr>
          <w:rFonts w:eastAsia="Times New Roman" w:cs="Times New Roman"/>
          <w:i/>
          <w:iCs/>
          <w:color w:val="000000"/>
          <w:szCs w:val="24"/>
        </w:rPr>
        <w:t>Eastern Economic Journal</w:t>
      </w:r>
      <w:r w:rsidRPr="00E905FC">
        <w:rPr>
          <w:rFonts w:eastAsia="Times New Roman" w:cs="Times New Roman"/>
          <w:color w:val="000000"/>
          <w:szCs w:val="24"/>
        </w:rPr>
        <w:t>, </w:t>
      </w:r>
      <w:r w:rsidRPr="00E905FC">
        <w:rPr>
          <w:rFonts w:eastAsia="Times New Roman" w:cs="Times New Roman"/>
          <w:i/>
          <w:iCs/>
          <w:color w:val="000000"/>
          <w:szCs w:val="24"/>
        </w:rPr>
        <w:t>44</w:t>
      </w:r>
      <w:r w:rsidRPr="00E905FC">
        <w:rPr>
          <w:rFonts w:eastAsia="Times New Roman" w:cs="Times New Roman"/>
          <w:color w:val="000000"/>
          <w:szCs w:val="24"/>
        </w:rPr>
        <w:t>(4), 594–615. https://doi.org/10.1057/s41302-018-0106-9</w:t>
      </w:r>
    </w:p>
    <w:p w14:paraId="1C96D6AD"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Chhetri, R. K., Kc, P., &amp; Dhakal, S. C. (2020). Remittance and its impact on Nepalese economy. </w:t>
      </w:r>
      <w:r w:rsidRPr="00E905FC">
        <w:rPr>
          <w:rFonts w:eastAsia="Times New Roman" w:cs="Times New Roman"/>
          <w:i/>
          <w:iCs/>
          <w:color w:val="000000"/>
          <w:szCs w:val="24"/>
        </w:rPr>
        <w:t>Acta Scientific Agriculture</w:t>
      </w:r>
      <w:r w:rsidRPr="00E905FC">
        <w:rPr>
          <w:rFonts w:eastAsia="Times New Roman" w:cs="Times New Roman"/>
          <w:color w:val="000000"/>
          <w:szCs w:val="24"/>
        </w:rPr>
        <w:t>, </w:t>
      </w:r>
      <w:r w:rsidRPr="00E905FC">
        <w:rPr>
          <w:rFonts w:eastAsia="Times New Roman" w:cs="Times New Roman"/>
          <w:i/>
          <w:iCs/>
          <w:color w:val="000000"/>
          <w:szCs w:val="24"/>
        </w:rPr>
        <w:t>4</w:t>
      </w:r>
      <w:r w:rsidRPr="00E905FC">
        <w:rPr>
          <w:rFonts w:eastAsia="Times New Roman" w:cs="Times New Roman"/>
          <w:color w:val="000000"/>
          <w:szCs w:val="24"/>
        </w:rPr>
        <w:t>(3), 1–05.</w:t>
      </w:r>
    </w:p>
    <w:p w14:paraId="61B65CD3"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Dahal, P. (2014). The impact of remittances on economic growth in Nepal: an analysis of a significant basis of development. </w:t>
      </w:r>
      <w:r w:rsidRPr="00E905FC">
        <w:rPr>
          <w:rFonts w:eastAsia="Times New Roman" w:cs="Times New Roman"/>
          <w:i/>
          <w:iCs/>
          <w:color w:val="000000"/>
          <w:szCs w:val="24"/>
        </w:rPr>
        <w:t>Asia Pacific Journal of Public Administration</w:t>
      </w:r>
      <w:r w:rsidRPr="00E905FC">
        <w:rPr>
          <w:rFonts w:eastAsia="Times New Roman" w:cs="Times New Roman"/>
          <w:color w:val="000000"/>
          <w:szCs w:val="24"/>
        </w:rPr>
        <w:t>, </w:t>
      </w:r>
      <w:r w:rsidRPr="00E905FC">
        <w:rPr>
          <w:rFonts w:eastAsia="Times New Roman" w:cs="Times New Roman"/>
          <w:i/>
          <w:iCs/>
          <w:color w:val="000000"/>
          <w:szCs w:val="24"/>
        </w:rPr>
        <w:t>36</w:t>
      </w:r>
      <w:r w:rsidRPr="00E905FC">
        <w:rPr>
          <w:rFonts w:eastAsia="Times New Roman" w:cs="Times New Roman"/>
          <w:color w:val="000000"/>
          <w:szCs w:val="24"/>
        </w:rPr>
        <w:t>(4), 261–282. https://doi.org/10.1080/23276665.2014.975908</w:t>
      </w:r>
    </w:p>
    <w:p w14:paraId="2C13EA6A"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Dash, P., &amp; Ranjan, R. (2024). </w:t>
      </w:r>
      <w:r w:rsidRPr="00E905FC">
        <w:rPr>
          <w:rFonts w:eastAsia="Times New Roman" w:cs="Times New Roman"/>
          <w:i/>
          <w:iCs/>
          <w:color w:val="000000"/>
          <w:szCs w:val="24"/>
        </w:rPr>
        <w:t>Financial literacy across different states of India: An empirical analysis</w:t>
      </w:r>
      <w:r w:rsidRPr="00E905FC">
        <w:rPr>
          <w:rFonts w:eastAsia="Times New Roman" w:cs="Times New Roman"/>
          <w:color w:val="000000"/>
          <w:szCs w:val="24"/>
        </w:rPr>
        <w:t xml:space="preserve">. </w:t>
      </w:r>
      <w:proofErr w:type="spellStart"/>
      <w:r w:rsidRPr="00E905FC">
        <w:rPr>
          <w:rFonts w:eastAsia="Times New Roman" w:cs="Times New Roman"/>
          <w:color w:val="000000"/>
          <w:szCs w:val="24"/>
        </w:rPr>
        <w:t>Org.In</w:t>
      </w:r>
      <w:proofErr w:type="spellEnd"/>
      <w:r w:rsidRPr="00E905FC">
        <w:rPr>
          <w:rFonts w:eastAsia="Times New Roman" w:cs="Times New Roman"/>
          <w:color w:val="000000"/>
          <w:szCs w:val="24"/>
        </w:rPr>
        <w:t>. https://ris.org.in/sites/default/files/Publication/DP-286-PDash-and-Rahul-Ranjan.pdf</w:t>
      </w:r>
    </w:p>
    <w:p w14:paraId="13149D3B"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Devkota, J. (2014). Impact of migrants’ remittances on poverty and inequality in Nepal. </w:t>
      </w:r>
      <w:r w:rsidRPr="00E905FC">
        <w:rPr>
          <w:rFonts w:eastAsia="Times New Roman" w:cs="Times New Roman"/>
          <w:i/>
          <w:iCs/>
          <w:color w:val="000000"/>
          <w:szCs w:val="24"/>
        </w:rPr>
        <w:t>Forum of International Development Studies</w:t>
      </w:r>
      <w:r w:rsidRPr="00E905FC">
        <w:rPr>
          <w:rFonts w:eastAsia="Times New Roman" w:cs="Times New Roman"/>
          <w:color w:val="000000"/>
          <w:szCs w:val="24"/>
        </w:rPr>
        <w:t>, </w:t>
      </w:r>
      <w:r w:rsidRPr="00E905FC">
        <w:rPr>
          <w:rFonts w:eastAsia="Times New Roman" w:cs="Times New Roman"/>
          <w:i/>
          <w:iCs/>
          <w:color w:val="000000"/>
          <w:szCs w:val="24"/>
        </w:rPr>
        <w:t>44</w:t>
      </w:r>
      <w:r w:rsidRPr="00E905FC">
        <w:rPr>
          <w:rFonts w:eastAsia="Times New Roman" w:cs="Times New Roman"/>
          <w:color w:val="000000"/>
          <w:szCs w:val="24"/>
        </w:rPr>
        <w:t>, 36–53.</w:t>
      </w:r>
    </w:p>
    <w:p w14:paraId="18E0A72B"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Dewi, V. I. (2022). How do demographic and socioeconomic factors affect financial literacy and its variables? </w:t>
      </w:r>
      <w:r w:rsidRPr="00E905FC">
        <w:rPr>
          <w:rFonts w:eastAsia="Times New Roman" w:cs="Times New Roman"/>
          <w:i/>
          <w:iCs/>
          <w:color w:val="000000"/>
          <w:szCs w:val="24"/>
        </w:rPr>
        <w:t>Cogent Business &amp; Management</w:t>
      </w:r>
      <w:r w:rsidRPr="00E905FC">
        <w:rPr>
          <w:rFonts w:eastAsia="Times New Roman" w:cs="Times New Roman"/>
          <w:color w:val="000000"/>
          <w:szCs w:val="24"/>
        </w:rPr>
        <w:t>, </w:t>
      </w:r>
      <w:r w:rsidRPr="00E905FC">
        <w:rPr>
          <w:rFonts w:eastAsia="Times New Roman" w:cs="Times New Roman"/>
          <w:i/>
          <w:iCs/>
          <w:color w:val="000000"/>
          <w:szCs w:val="24"/>
        </w:rPr>
        <w:t>9</w:t>
      </w:r>
      <w:r w:rsidRPr="00E905FC">
        <w:rPr>
          <w:rFonts w:eastAsia="Times New Roman" w:cs="Times New Roman"/>
          <w:color w:val="000000"/>
          <w:szCs w:val="24"/>
        </w:rPr>
        <w:t>(1). https://doi.org/10.1080/23311975.2022.2077640</w:t>
      </w:r>
    </w:p>
    <w:p w14:paraId="7D79E214"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lastRenderedPageBreak/>
        <w:t>Dhakal, S., &amp; Oli, S. K. (2020). The impact of remittance on consumption and investment: A case of province five of Nepal. </w:t>
      </w:r>
      <w:r w:rsidRPr="00E905FC">
        <w:rPr>
          <w:rFonts w:eastAsia="Times New Roman" w:cs="Times New Roman"/>
          <w:i/>
          <w:iCs/>
          <w:color w:val="000000"/>
          <w:szCs w:val="24"/>
        </w:rPr>
        <w:t>Quest Journal of Management and Social Sciences</w:t>
      </w:r>
      <w:r w:rsidRPr="00E905FC">
        <w:rPr>
          <w:rFonts w:eastAsia="Times New Roman" w:cs="Times New Roman"/>
          <w:color w:val="000000"/>
          <w:szCs w:val="24"/>
        </w:rPr>
        <w:t>, </w:t>
      </w:r>
      <w:r w:rsidRPr="00E905FC">
        <w:rPr>
          <w:rFonts w:eastAsia="Times New Roman" w:cs="Times New Roman"/>
          <w:i/>
          <w:iCs/>
          <w:color w:val="000000"/>
          <w:szCs w:val="24"/>
        </w:rPr>
        <w:t>2</w:t>
      </w:r>
      <w:r w:rsidRPr="00E905FC">
        <w:rPr>
          <w:rFonts w:eastAsia="Times New Roman" w:cs="Times New Roman"/>
          <w:color w:val="000000"/>
          <w:szCs w:val="24"/>
        </w:rPr>
        <w:t>(1), 27–40. https://doi.org/10.3126/qjmss.v2i1.29018</w:t>
      </w:r>
    </w:p>
    <w:p w14:paraId="47E301B7"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Dsouza, S. (2024). Public–private partnership ventures: A diasporic initiative in India through social remittances and philanthropic work. In </w:t>
      </w:r>
      <w:r w:rsidRPr="00E905FC">
        <w:rPr>
          <w:rFonts w:eastAsia="Times New Roman" w:cs="Times New Roman"/>
          <w:i/>
          <w:iCs/>
          <w:color w:val="000000"/>
          <w:szCs w:val="24"/>
        </w:rPr>
        <w:t>Business and Society</w:t>
      </w:r>
      <w:r w:rsidRPr="00E905FC">
        <w:rPr>
          <w:rFonts w:eastAsia="Times New Roman" w:cs="Times New Roman"/>
          <w:color w:val="000000"/>
          <w:szCs w:val="24"/>
        </w:rPr>
        <w:t> (pp. 205–224). WORLD SCIENTIFIC.</w:t>
      </w:r>
    </w:p>
    <w:p w14:paraId="6AC5AB69"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Edwards, A. C., &amp; Ureta, M. (2003). International migration, remittances, and schooling: evidence from El Salvador. </w:t>
      </w:r>
      <w:r w:rsidRPr="00E905FC">
        <w:rPr>
          <w:rFonts w:eastAsia="Times New Roman" w:cs="Times New Roman"/>
          <w:i/>
          <w:iCs/>
          <w:color w:val="000000"/>
          <w:szCs w:val="24"/>
        </w:rPr>
        <w:t>Journal of Development Economics</w:t>
      </w:r>
      <w:r w:rsidRPr="00E905FC">
        <w:rPr>
          <w:rFonts w:eastAsia="Times New Roman" w:cs="Times New Roman"/>
          <w:color w:val="000000"/>
          <w:szCs w:val="24"/>
        </w:rPr>
        <w:t>, </w:t>
      </w:r>
      <w:r w:rsidRPr="00E905FC">
        <w:rPr>
          <w:rFonts w:eastAsia="Times New Roman" w:cs="Times New Roman"/>
          <w:i/>
          <w:iCs/>
          <w:color w:val="000000"/>
          <w:szCs w:val="24"/>
        </w:rPr>
        <w:t>72</w:t>
      </w:r>
      <w:r w:rsidRPr="00E905FC">
        <w:rPr>
          <w:rFonts w:eastAsia="Times New Roman" w:cs="Times New Roman"/>
          <w:color w:val="000000"/>
          <w:szCs w:val="24"/>
        </w:rPr>
        <w:t>(2), 429–461. https://doi.org/10.1016/s0304-3878(03)00115-9</w:t>
      </w:r>
    </w:p>
    <w:p w14:paraId="3C4DC47F"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Ekanayake, E. M., &amp; </w:t>
      </w:r>
      <w:proofErr w:type="spellStart"/>
      <w:r w:rsidRPr="00E905FC">
        <w:rPr>
          <w:rFonts w:eastAsia="Times New Roman" w:cs="Times New Roman"/>
          <w:color w:val="000000"/>
          <w:szCs w:val="24"/>
        </w:rPr>
        <w:t>Moslares</w:t>
      </w:r>
      <w:proofErr w:type="spellEnd"/>
      <w:r w:rsidRPr="00E905FC">
        <w:rPr>
          <w:rFonts w:eastAsia="Times New Roman" w:cs="Times New Roman"/>
          <w:color w:val="000000"/>
          <w:szCs w:val="24"/>
        </w:rPr>
        <w:t>, C. (2020). Do remittances promote economic growth and reduce poverty? Evidence from Latin American countries. </w:t>
      </w:r>
      <w:r w:rsidRPr="00E905FC">
        <w:rPr>
          <w:rFonts w:eastAsia="Times New Roman" w:cs="Times New Roman"/>
          <w:i/>
          <w:iCs/>
          <w:color w:val="000000"/>
          <w:szCs w:val="24"/>
        </w:rPr>
        <w:t>Economies</w:t>
      </w:r>
      <w:r w:rsidRPr="00E905FC">
        <w:rPr>
          <w:rFonts w:eastAsia="Times New Roman" w:cs="Times New Roman"/>
          <w:color w:val="000000"/>
          <w:szCs w:val="24"/>
        </w:rPr>
        <w:t>, </w:t>
      </w:r>
      <w:r w:rsidRPr="00E905FC">
        <w:rPr>
          <w:rFonts w:eastAsia="Times New Roman" w:cs="Times New Roman"/>
          <w:i/>
          <w:iCs/>
          <w:color w:val="000000"/>
          <w:szCs w:val="24"/>
        </w:rPr>
        <w:t>8</w:t>
      </w:r>
      <w:r w:rsidRPr="00E905FC">
        <w:rPr>
          <w:rFonts w:eastAsia="Times New Roman" w:cs="Times New Roman"/>
          <w:color w:val="000000"/>
          <w:szCs w:val="24"/>
        </w:rPr>
        <w:t>(2), 35. https://doi.org/10.3390/economies8020035</w:t>
      </w:r>
    </w:p>
    <w:p w14:paraId="0E77FE9A"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Firlana</w:t>
      </w:r>
      <w:proofErr w:type="spellEnd"/>
      <w:r w:rsidRPr="00E905FC">
        <w:rPr>
          <w:rFonts w:eastAsia="Times New Roman" w:cs="Times New Roman"/>
          <w:color w:val="000000"/>
          <w:szCs w:val="24"/>
        </w:rPr>
        <w:t xml:space="preserve">, H., &amp; </w:t>
      </w:r>
      <w:proofErr w:type="spellStart"/>
      <w:r w:rsidRPr="00E905FC">
        <w:rPr>
          <w:rFonts w:eastAsia="Times New Roman" w:cs="Times New Roman"/>
          <w:color w:val="000000"/>
          <w:szCs w:val="24"/>
        </w:rPr>
        <w:t>Mastur</w:t>
      </w:r>
      <w:proofErr w:type="spellEnd"/>
      <w:r w:rsidRPr="00E905FC">
        <w:rPr>
          <w:rFonts w:eastAsia="Times New Roman" w:cs="Times New Roman"/>
          <w:color w:val="000000"/>
          <w:szCs w:val="24"/>
        </w:rPr>
        <w:t>, A. S. R. (2023). Survival Strategies, Remittance Management Models, and Micro Businesses of Migrant Worker Families: a Literature Review. </w:t>
      </w:r>
      <w:r w:rsidRPr="00E905FC">
        <w:rPr>
          <w:rFonts w:eastAsia="Times New Roman" w:cs="Times New Roman"/>
          <w:i/>
          <w:iCs/>
          <w:color w:val="000000"/>
          <w:szCs w:val="24"/>
        </w:rPr>
        <w:t>Journal of Administration and International Development</w:t>
      </w:r>
      <w:r w:rsidRPr="00E905FC">
        <w:rPr>
          <w:rFonts w:eastAsia="Times New Roman" w:cs="Times New Roman"/>
          <w:color w:val="000000"/>
          <w:szCs w:val="24"/>
        </w:rPr>
        <w:t>, </w:t>
      </w:r>
      <w:r w:rsidRPr="00E905FC">
        <w:rPr>
          <w:rFonts w:eastAsia="Times New Roman" w:cs="Times New Roman"/>
          <w:i/>
          <w:iCs/>
          <w:color w:val="000000"/>
          <w:szCs w:val="24"/>
        </w:rPr>
        <w:t>3</w:t>
      </w:r>
      <w:r w:rsidRPr="00E905FC">
        <w:rPr>
          <w:rFonts w:eastAsia="Times New Roman" w:cs="Times New Roman"/>
          <w:color w:val="000000"/>
          <w:szCs w:val="24"/>
        </w:rPr>
        <w:t>(1), 77–91.</w:t>
      </w:r>
    </w:p>
    <w:p w14:paraId="2C6F11D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Gajurel</w:t>
      </w:r>
      <w:proofErr w:type="spellEnd"/>
      <w:r w:rsidRPr="00E905FC">
        <w:rPr>
          <w:rFonts w:eastAsia="Times New Roman" w:cs="Times New Roman"/>
          <w:color w:val="000000"/>
          <w:szCs w:val="24"/>
        </w:rPr>
        <w:t>, R. P., &amp; Niroula, A. (2024). Impact of remittance on educational outcomes: Empirical evidence from Nepal. </w:t>
      </w:r>
      <w:proofErr w:type="spellStart"/>
      <w:r w:rsidRPr="00E905FC">
        <w:rPr>
          <w:rFonts w:eastAsia="Times New Roman" w:cs="Times New Roman"/>
          <w:i/>
          <w:iCs/>
          <w:color w:val="000000"/>
          <w:szCs w:val="24"/>
        </w:rPr>
        <w:t>Dristikon</w:t>
      </w:r>
      <w:proofErr w:type="spellEnd"/>
      <w:r w:rsidRPr="00E905FC">
        <w:rPr>
          <w:rFonts w:eastAsia="Times New Roman" w:cs="Times New Roman"/>
          <w:i/>
          <w:iCs/>
          <w:color w:val="000000"/>
          <w:szCs w:val="24"/>
        </w:rPr>
        <w:t>: A Multidisciplinary Journal</w:t>
      </w:r>
      <w:r w:rsidRPr="00E905FC">
        <w:rPr>
          <w:rFonts w:eastAsia="Times New Roman" w:cs="Times New Roman"/>
          <w:color w:val="000000"/>
          <w:szCs w:val="24"/>
        </w:rPr>
        <w:t>, </w:t>
      </w:r>
      <w:r w:rsidRPr="00E905FC">
        <w:rPr>
          <w:rFonts w:eastAsia="Times New Roman" w:cs="Times New Roman"/>
          <w:i/>
          <w:iCs/>
          <w:color w:val="000000"/>
          <w:szCs w:val="24"/>
        </w:rPr>
        <w:t>14</w:t>
      </w:r>
      <w:r w:rsidRPr="00E905FC">
        <w:rPr>
          <w:rFonts w:eastAsia="Times New Roman" w:cs="Times New Roman"/>
          <w:color w:val="000000"/>
          <w:szCs w:val="24"/>
        </w:rPr>
        <w:t>(1), 111–132. https://doi.org/10.3126/dristikon.v14i1.66055</w:t>
      </w:r>
    </w:p>
    <w:p w14:paraId="3C0C5247"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Gaudel</w:t>
      </w:r>
      <w:proofErr w:type="spellEnd"/>
      <w:r w:rsidRPr="00E905FC">
        <w:rPr>
          <w:rFonts w:eastAsia="Times New Roman" w:cs="Times New Roman"/>
          <w:color w:val="000000"/>
          <w:szCs w:val="24"/>
        </w:rPr>
        <w:t>, Y. S. (2007). Remittance income in Nepal: Need for economic development. </w:t>
      </w:r>
      <w:r w:rsidRPr="00E905FC">
        <w:rPr>
          <w:rFonts w:eastAsia="Times New Roman" w:cs="Times New Roman"/>
          <w:i/>
          <w:iCs/>
          <w:color w:val="000000"/>
          <w:szCs w:val="24"/>
        </w:rPr>
        <w:t>Journal of Nepalese Business Studies</w:t>
      </w:r>
      <w:r w:rsidRPr="00E905FC">
        <w:rPr>
          <w:rFonts w:eastAsia="Times New Roman" w:cs="Times New Roman"/>
          <w:color w:val="000000"/>
          <w:szCs w:val="24"/>
        </w:rPr>
        <w:t>, </w:t>
      </w:r>
      <w:r w:rsidRPr="00E905FC">
        <w:rPr>
          <w:rFonts w:eastAsia="Times New Roman" w:cs="Times New Roman"/>
          <w:i/>
          <w:iCs/>
          <w:color w:val="000000"/>
          <w:szCs w:val="24"/>
        </w:rPr>
        <w:t>3</w:t>
      </w:r>
      <w:r w:rsidRPr="00E905FC">
        <w:rPr>
          <w:rFonts w:eastAsia="Times New Roman" w:cs="Times New Roman"/>
          <w:color w:val="000000"/>
          <w:szCs w:val="24"/>
        </w:rPr>
        <w:t>(1), 9–17. https://doi.org/10.3126/jnbs.v3i1.491</w:t>
      </w:r>
    </w:p>
    <w:p w14:paraId="3FBD3A3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Ghimire, A., </w:t>
      </w:r>
      <w:proofErr w:type="spellStart"/>
      <w:r w:rsidRPr="00E905FC">
        <w:rPr>
          <w:rFonts w:eastAsia="Times New Roman" w:cs="Times New Roman"/>
          <w:color w:val="000000"/>
          <w:szCs w:val="24"/>
        </w:rPr>
        <w:t>Danuwar</w:t>
      </w:r>
      <w:proofErr w:type="spellEnd"/>
      <w:r w:rsidRPr="00E905FC">
        <w:rPr>
          <w:rFonts w:eastAsia="Times New Roman" w:cs="Times New Roman"/>
          <w:color w:val="000000"/>
          <w:szCs w:val="24"/>
        </w:rPr>
        <w:t xml:space="preserve">, R. K., Gurung, B. K., Dhakal, A., </w:t>
      </w:r>
      <w:proofErr w:type="spellStart"/>
      <w:r w:rsidRPr="00E905FC">
        <w:rPr>
          <w:rFonts w:eastAsia="Times New Roman" w:cs="Times New Roman"/>
          <w:color w:val="000000"/>
          <w:szCs w:val="24"/>
        </w:rPr>
        <w:t>Timalsina</w:t>
      </w:r>
      <w:proofErr w:type="spellEnd"/>
      <w:r w:rsidRPr="00E905FC">
        <w:rPr>
          <w:rFonts w:eastAsia="Times New Roman" w:cs="Times New Roman"/>
          <w:color w:val="000000"/>
          <w:szCs w:val="24"/>
        </w:rPr>
        <w:t xml:space="preserve">, D. P., &amp; Baral, D. K. (2023). Financial literacy and personal financial planning among the households of migrant workers in </w:t>
      </w:r>
      <w:proofErr w:type="spellStart"/>
      <w:r w:rsidRPr="00E905FC">
        <w:rPr>
          <w:rFonts w:eastAsia="Times New Roman" w:cs="Times New Roman"/>
          <w:color w:val="000000"/>
          <w:szCs w:val="24"/>
        </w:rPr>
        <w:t>Rainas</w:t>
      </w:r>
      <w:proofErr w:type="spellEnd"/>
      <w:r w:rsidRPr="00E905FC">
        <w:rPr>
          <w:rFonts w:eastAsia="Times New Roman" w:cs="Times New Roman"/>
          <w:color w:val="000000"/>
          <w:szCs w:val="24"/>
        </w:rPr>
        <w:t xml:space="preserve"> Municipality, </w:t>
      </w:r>
      <w:proofErr w:type="spellStart"/>
      <w:r w:rsidRPr="00E905FC">
        <w:rPr>
          <w:rFonts w:eastAsia="Times New Roman" w:cs="Times New Roman"/>
          <w:color w:val="000000"/>
          <w:szCs w:val="24"/>
        </w:rPr>
        <w:t>lamjung</w:t>
      </w:r>
      <w:proofErr w:type="spellEnd"/>
      <w:r w:rsidRPr="00E905FC">
        <w:rPr>
          <w:rFonts w:eastAsia="Times New Roman" w:cs="Times New Roman"/>
          <w:color w:val="000000"/>
          <w:szCs w:val="24"/>
        </w:rPr>
        <w:t>, Nepal. </w:t>
      </w:r>
      <w:r w:rsidRPr="00E905FC">
        <w:rPr>
          <w:rFonts w:eastAsia="Times New Roman" w:cs="Times New Roman"/>
          <w:i/>
          <w:iCs/>
          <w:color w:val="000000"/>
          <w:szCs w:val="24"/>
        </w:rPr>
        <w:t>Interdisciplinary Journal of Innovation in Nepalese Academia</w:t>
      </w:r>
      <w:r w:rsidRPr="00E905FC">
        <w:rPr>
          <w:rFonts w:eastAsia="Times New Roman" w:cs="Times New Roman"/>
          <w:color w:val="000000"/>
          <w:szCs w:val="24"/>
        </w:rPr>
        <w:t>, </w:t>
      </w:r>
      <w:r w:rsidRPr="00E905FC">
        <w:rPr>
          <w:rFonts w:eastAsia="Times New Roman" w:cs="Times New Roman"/>
          <w:i/>
          <w:iCs/>
          <w:color w:val="000000"/>
          <w:szCs w:val="24"/>
        </w:rPr>
        <w:t>2</w:t>
      </w:r>
      <w:r w:rsidRPr="00E905FC">
        <w:rPr>
          <w:rFonts w:eastAsia="Times New Roman" w:cs="Times New Roman"/>
          <w:color w:val="000000"/>
          <w:szCs w:val="24"/>
        </w:rPr>
        <w:t>(2), 147–159. https://doi.org/10.3126/idjina.v2i2.59493</w:t>
      </w:r>
    </w:p>
    <w:p w14:paraId="596F5AA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lastRenderedPageBreak/>
        <w:t>Guermond</w:t>
      </w:r>
      <w:proofErr w:type="spellEnd"/>
      <w:r w:rsidRPr="00E905FC">
        <w:rPr>
          <w:rFonts w:eastAsia="Times New Roman" w:cs="Times New Roman"/>
          <w:color w:val="000000"/>
          <w:szCs w:val="24"/>
        </w:rPr>
        <w:t>, V. (2022). Remittance-</w:t>
      </w:r>
      <w:proofErr w:type="spellStart"/>
      <w:r w:rsidRPr="00E905FC">
        <w:rPr>
          <w:rFonts w:eastAsia="Times New Roman" w:cs="Times New Roman"/>
          <w:color w:val="000000"/>
          <w:szCs w:val="24"/>
        </w:rPr>
        <w:t>scapes</w:t>
      </w:r>
      <w:proofErr w:type="spellEnd"/>
      <w:r w:rsidRPr="00E905FC">
        <w:rPr>
          <w:rFonts w:eastAsia="Times New Roman" w:cs="Times New Roman"/>
          <w:color w:val="000000"/>
          <w:szCs w:val="24"/>
        </w:rPr>
        <w:t>: The contested geographies of remittance management. </w:t>
      </w:r>
      <w:r w:rsidRPr="00E905FC">
        <w:rPr>
          <w:rFonts w:eastAsia="Times New Roman" w:cs="Times New Roman"/>
          <w:i/>
          <w:iCs/>
          <w:color w:val="000000"/>
          <w:szCs w:val="24"/>
        </w:rPr>
        <w:t>Progress in Human Geography</w:t>
      </w:r>
      <w:r w:rsidRPr="00E905FC">
        <w:rPr>
          <w:rFonts w:eastAsia="Times New Roman" w:cs="Times New Roman"/>
          <w:color w:val="000000"/>
          <w:szCs w:val="24"/>
        </w:rPr>
        <w:t>, </w:t>
      </w:r>
      <w:r w:rsidRPr="00E905FC">
        <w:rPr>
          <w:rFonts w:eastAsia="Times New Roman" w:cs="Times New Roman"/>
          <w:i/>
          <w:iCs/>
          <w:color w:val="000000"/>
          <w:szCs w:val="24"/>
        </w:rPr>
        <w:t>46</w:t>
      </w:r>
      <w:r w:rsidRPr="00E905FC">
        <w:rPr>
          <w:rFonts w:eastAsia="Times New Roman" w:cs="Times New Roman"/>
          <w:color w:val="000000"/>
          <w:szCs w:val="24"/>
        </w:rPr>
        <w:t>(2), 372–397. https://doi.org/10.1177/03091325211033645</w:t>
      </w:r>
    </w:p>
    <w:p w14:paraId="1FF65AA5"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Gurung, A., &amp; Bhandari, M. (2023). Socio-economic consequences of remittance on households in Pokhara valley. </w:t>
      </w:r>
      <w:r w:rsidRPr="00E905FC">
        <w:rPr>
          <w:rFonts w:eastAsia="Times New Roman" w:cs="Times New Roman"/>
          <w:i/>
          <w:iCs/>
          <w:color w:val="000000"/>
          <w:szCs w:val="24"/>
        </w:rPr>
        <w:t>Journal of Interdisciplinary Studies</w:t>
      </w:r>
      <w:r w:rsidRPr="00E905FC">
        <w:rPr>
          <w:rFonts w:eastAsia="Times New Roman" w:cs="Times New Roman"/>
          <w:color w:val="000000"/>
          <w:szCs w:val="24"/>
        </w:rPr>
        <w:t>, </w:t>
      </w:r>
      <w:r w:rsidRPr="00E905FC">
        <w:rPr>
          <w:rFonts w:eastAsia="Times New Roman" w:cs="Times New Roman"/>
          <w:i/>
          <w:iCs/>
          <w:color w:val="000000"/>
          <w:szCs w:val="24"/>
        </w:rPr>
        <w:t>12</w:t>
      </w:r>
      <w:r w:rsidRPr="00E905FC">
        <w:rPr>
          <w:rFonts w:eastAsia="Times New Roman" w:cs="Times New Roman"/>
          <w:color w:val="000000"/>
          <w:szCs w:val="24"/>
        </w:rPr>
        <w:t>(1), 14–40. https://doi.org/10.3126/jis.v12i1.65446</w:t>
      </w:r>
    </w:p>
    <w:p w14:paraId="49001D7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Gurung, T. R. (2023). </w:t>
      </w:r>
      <w:r w:rsidRPr="00E905FC">
        <w:rPr>
          <w:rFonts w:eastAsia="Times New Roman" w:cs="Times New Roman"/>
          <w:i/>
          <w:iCs/>
          <w:color w:val="000000"/>
          <w:szCs w:val="24"/>
        </w:rPr>
        <w:t>Is Tourism a Boon or a Bane? Exploring the Nexus of Tourism Impacts, Livelihood, and Migration: A Case Study of the Himalayan Region of Upper Mustang, Nepal (Doctoral dissertation)</w:t>
      </w:r>
      <w:r w:rsidRPr="00E905FC">
        <w:rPr>
          <w:rFonts w:eastAsia="Times New Roman" w:cs="Times New Roman"/>
          <w:color w:val="000000"/>
          <w:szCs w:val="24"/>
        </w:rPr>
        <w:t>.</w:t>
      </w:r>
    </w:p>
    <w:p w14:paraId="247760E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Han, J. (2009). </w:t>
      </w:r>
      <w:r w:rsidRPr="00E905FC">
        <w:rPr>
          <w:rFonts w:eastAsia="Times New Roman" w:cs="Times New Roman"/>
          <w:i/>
          <w:iCs/>
          <w:color w:val="000000"/>
          <w:szCs w:val="24"/>
        </w:rPr>
        <w:t>Global Trends of Forced Migration: A Panel Data Analysis 2009-2021</w:t>
      </w:r>
      <w:r w:rsidRPr="00E905FC">
        <w:rPr>
          <w:rFonts w:eastAsia="Times New Roman" w:cs="Times New Roman"/>
          <w:color w:val="000000"/>
          <w:szCs w:val="24"/>
        </w:rPr>
        <w:t>.</w:t>
      </w:r>
    </w:p>
    <w:p w14:paraId="12CD75BB"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Hasan, M., Le, T., &amp; Hoque, A. (2021). How does financial literacy impact on inclusive finance? </w:t>
      </w:r>
      <w:r w:rsidRPr="00E905FC">
        <w:rPr>
          <w:rFonts w:eastAsia="Times New Roman" w:cs="Times New Roman"/>
          <w:i/>
          <w:iCs/>
          <w:color w:val="000000"/>
          <w:szCs w:val="24"/>
        </w:rPr>
        <w:t>Financial Innovation</w:t>
      </w:r>
      <w:r w:rsidRPr="00E905FC">
        <w:rPr>
          <w:rFonts w:eastAsia="Times New Roman" w:cs="Times New Roman"/>
          <w:color w:val="000000"/>
          <w:szCs w:val="24"/>
        </w:rPr>
        <w:t>, </w:t>
      </w:r>
      <w:r w:rsidRPr="00E905FC">
        <w:rPr>
          <w:rFonts w:eastAsia="Times New Roman" w:cs="Times New Roman"/>
          <w:i/>
          <w:iCs/>
          <w:color w:val="000000"/>
          <w:szCs w:val="24"/>
        </w:rPr>
        <w:t>7</w:t>
      </w:r>
      <w:r w:rsidRPr="00E905FC">
        <w:rPr>
          <w:rFonts w:eastAsia="Times New Roman" w:cs="Times New Roman"/>
          <w:color w:val="000000"/>
          <w:szCs w:val="24"/>
        </w:rPr>
        <w:t>(1). https://doi.org/10.1186/s40854-021-00259-9</w:t>
      </w:r>
    </w:p>
    <w:p w14:paraId="6F2A4B6A"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Hidayati</w:t>
      </w:r>
      <w:proofErr w:type="spellEnd"/>
      <w:r w:rsidRPr="00E905FC">
        <w:rPr>
          <w:rFonts w:eastAsia="Times New Roman" w:cs="Times New Roman"/>
          <w:color w:val="000000"/>
          <w:szCs w:val="24"/>
        </w:rPr>
        <w:t>, I. (2020). Migration and rural development: The impact of remittance. </w:t>
      </w:r>
      <w:r w:rsidRPr="00E905FC">
        <w:rPr>
          <w:rFonts w:eastAsia="Times New Roman" w:cs="Times New Roman"/>
          <w:i/>
          <w:iCs/>
          <w:color w:val="000000"/>
          <w:szCs w:val="24"/>
        </w:rPr>
        <w:t>IOP Conference Series. Earth and Environmental Science</w:t>
      </w:r>
      <w:r w:rsidRPr="00E905FC">
        <w:rPr>
          <w:rFonts w:eastAsia="Times New Roman" w:cs="Times New Roman"/>
          <w:color w:val="000000"/>
          <w:szCs w:val="24"/>
        </w:rPr>
        <w:t>, </w:t>
      </w:r>
      <w:r w:rsidRPr="00E905FC">
        <w:rPr>
          <w:rFonts w:eastAsia="Times New Roman" w:cs="Times New Roman"/>
          <w:i/>
          <w:iCs/>
          <w:color w:val="000000"/>
          <w:szCs w:val="24"/>
        </w:rPr>
        <w:t>561</w:t>
      </w:r>
      <w:r w:rsidRPr="00E905FC">
        <w:rPr>
          <w:rFonts w:eastAsia="Times New Roman" w:cs="Times New Roman"/>
          <w:color w:val="000000"/>
          <w:szCs w:val="24"/>
        </w:rPr>
        <w:t>(1), 012018. https://doi.org/10.1088/1755-1315/561/1/012018</w:t>
      </w:r>
    </w:p>
    <w:p w14:paraId="449C2276"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Hussein, K. (2002). </w:t>
      </w:r>
      <w:r w:rsidRPr="00E905FC">
        <w:rPr>
          <w:rFonts w:eastAsia="Times New Roman" w:cs="Times New Roman"/>
          <w:i/>
          <w:iCs/>
          <w:color w:val="000000"/>
          <w:szCs w:val="24"/>
        </w:rPr>
        <w:t>Livelihoods approaches compared. London, Department for International Development</w:t>
      </w:r>
      <w:r w:rsidRPr="00E905FC">
        <w:rPr>
          <w:rFonts w:eastAsia="Times New Roman" w:cs="Times New Roman"/>
          <w:color w:val="000000"/>
          <w:szCs w:val="24"/>
        </w:rPr>
        <w:t>.</w:t>
      </w:r>
    </w:p>
    <w:p w14:paraId="34E2D392"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Islam, M. S. (2022). Do personal remittances influence economic growth in South Asia? A panel analysis. </w:t>
      </w:r>
      <w:r w:rsidRPr="00E905FC">
        <w:rPr>
          <w:rFonts w:eastAsia="Times New Roman" w:cs="Times New Roman"/>
          <w:i/>
          <w:iCs/>
          <w:color w:val="000000"/>
          <w:szCs w:val="24"/>
        </w:rPr>
        <w:t>Review of Development Economics</w:t>
      </w:r>
      <w:r w:rsidRPr="00E905FC">
        <w:rPr>
          <w:rFonts w:eastAsia="Times New Roman" w:cs="Times New Roman"/>
          <w:color w:val="000000"/>
          <w:szCs w:val="24"/>
        </w:rPr>
        <w:t>, </w:t>
      </w:r>
      <w:r w:rsidRPr="00E905FC">
        <w:rPr>
          <w:rFonts w:eastAsia="Times New Roman" w:cs="Times New Roman"/>
          <w:i/>
          <w:iCs/>
          <w:color w:val="000000"/>
          <w:szCs w:val="24"/>
        </w:rPr>
        <w:t>26</w:t>
      </w:r>
      <w:r w:rsidRPr="00E905FC">
        <w:rPr>
          <w:rFonts w:eastAsia="Times New Roman" w:cs="Times New Roman"/>
          <w:color w:val="000000"/>
          <w:szCs w:val="24"/>
        </w:rPr>
        <w:t>(1), 242–258. https://doi.org/10.1111/rode.12842</w:t>
      </w:r>
    </w:p>
    <w:p w14:paraId="7CDB658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Javid, M., Arif, U., &amp; Qayyum, A. (2012). Impact of remittances on economic growth and poverty. </w:t>
      </w:r>
      <w:r w:rsidRPr="00E905FC">
        <w:rPr>
          <w:rFonts w:eastAsia="Times New Roman" w:cs="Times New Roman"/>
          <w:i/>
          <w:iCs/>
          <w:color w:val="000000"/>
          <w:szCs w:val="24"/>
        </w:rPr>
        <w:t>Academic Research International</w:t>
      </w:r>
      <w:r w:rsidRPr="00E905FC">
        <w:rPr>
          <w:rFonts w:eastAsia="Times New Roman" w:cs="Times New Roman"/>
          <w:color w:val="000000"/>
          <w:szCs w:val="24"/>
        </w:rPr>
        <w:t>, </w:t>
      </w:r>
      <w:r w:rsidRPr="00E905FC">
        <w:rPr>
          <w:rFonts w:eastAsia="Times New Roman" w:cs="Times New Roman"/>
          <w:i/>
          <w:iCs/>
          <w:color w:val="000000"/>
          <w:szCs w:val="24"/>
        </w:rPr>
        <w:t>2</w:t>
      </w:r>
      <w:r w:rsidRPr="00E905FC">
        <w:rPr>
          <w:rFonts w:eastAsia="Times New Roman" w:cs="Times New Roman"/>
          <w:color w:val="000000"/>
          <w:szCs w:val="24"/>
        </w:rPr>
        <w:t>(1).</w:t>
      </w:r>
    </w:p>
    <w:p w14:paraId="07D3A014"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Kaphle</w:t>
      </w:r>
      <w:proofErr w:type="spellEnd"/>
      <w:r w:rsidRPr="00E905FC">
        <w:rPr>
          <w:rFonts w:eastAsia="Times New Roman" w:cs="Times New Roman"/>
          <w:color w:val="000000"/>
          <w:szCs w:val="24"/>
        </w:rPr>
        <w:t>, R. R. (2019). Relationship between remittance and economic growth in Nepal. </w:t>
      </w:r>
      <w:r w:rsidRPr="00E905FC">
        <w:rPr>
          <w:rFonts w:eastAsia="Times New Roman" w:cs="Times New Roman"/>
          <w:i/>
          <w:iCs/>
          <w:color w:val="000000"/>
          <w:szCs w:val="24"/>
        </w:rPr>
        <w:t>Tribhuvan University Journal</w:t>
      </w:r>
      <w:r w:rsidRPr="00E905FC">
        <w:rPr>
          <w:rFonts w:eastAsia="Times New Roman" w:cs="Times New Roman"/>
          <w:color w:val="000000"/>
          <w:szCs w:val="24"/>
        </w:rPr>
        <w:t>, </w:t>
      </w:r>
      <w:r w:rsidRPr="00E905FC">
        <w:rPr>
          <w:rFonts w:eastAsia="Times New Roman" w:cs="Times New Roman"/>
          <w:i/>
          <w:iCs/>
          <w:color w:val="000000"/>
          <w:szCs w:val="24"/>
        </w:rPr>
        <w:t>32</w:t>
      </w:r>
      <w:r w:rsidRPr="00E905FC">
        <w:rPr>
          <w:rFonts w:eastAsia="Times New Roman" w:cs="Times New Roman"/>
          <w:color w:val="000000"/>
          <w:szCs w:val="24"/>
        </w:rPr>
        <w:t>(2), 249–266. https://doi.org/10.3126/tuj.v32i2.24722</w:t>
      </w:r>
    </w:p>
    <w:p w14:paraId="5CB0C840"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lastRenderedPageBreak/>
        <w:t>Kapri, K., &amp; Jha, S. (2020). Impact of remittances on household health care expenditure: Evidence from the Nepal Living Standards Survey. </w:t>
      </w:r>
      <w:r w:rsidRPr="00E905FC">
        <w:rPr>
          <w:rFonts w:eastAsia="Times New Roman" w:cs="Times New Roman"/>
          <w:i/>
          <w:iCs/>
          <w:color w:val="000000"/>
          <w:szCs w:val="24"/>
        </w:rPr>
        <w:t>Review of Development Economics</w:t>
      </w:r>
      <w:r w:rsidRPr="00E905FC">
        <w:rPr>
          <w:rFonts w:eastAsia="Times New Roman" w:cs="Times New Roman"/>
          <w:color w:val="000000"/>
          <w:szCs w:val="24"/>
        </w:rPr>
        <w:t>, </w:t>
      </w:r>
      <w:r w:rsidRPr="00E905FC">
        <w:rPr>
          <w:rFonts w:eastAsia="Times New Roman" w:cs="Times New Roman"/>
          <w:i/>
          <w:iCs/>
          <w:color w:val="000000"/>
          <w:szCs w:val="24"/>
        </w:rPr>
        <w:t>rode.12666</w:t>
      </w:r>
      <w:r w:rsidRPr="00E905FC">
        <w:rPr>
          <w:rFonts w:eastAsia="Times New Roman" w:cs="Times New Roman"/>
          <w:color w:val="000000"/>
          <w:szCs w:val="24"/>
        </w:rPr>
        <w:t>. https://doi.org/10.1111/rode.12666</w:t>
      </w:r>
    </w:p>
    <w:p w14:paraId="04FF26CE"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Karki, A. (2016). The impact of international remittances on child outcomes and household expenditures in Nepal. </w:t>
      </w:r>
      <w:r w:rsidRPr="00E905FC">
        <w:rPr>
          <w:rFonts w:eastAsia="Times New Roman" w:cs="Times New Roman"/>
          <w:i/>
          <w:iCs/>
          <w:color w:val="000000"/>
          <w:szCs w:val="24"/>
        </w:rPr>
        <w:t>The Journal of Development Studies</w:t>
      </w:r>
      <w:r w:rsidRPr="00E905FC">
        <w:rPr>
          <w:rFonts w:eastAsia="Times New Roman" w:cs="Times New Roman"/>
          <w:color w:val="000000"/>
          <w:szCs w:val="24"/>
        </w:rPr>
        <w:t>, </w:t>
      </w:r>
      <w:r w:rsidRPr="00E905FC">
        <w:rPr>
          <w:rFonts w:eastAsia="Times New Roman" w:cs="Times New Roman"/>
          <w:i/>
          <w:iCs/>
          <w:color w:val="000000"/>
          <w:szCs w:val="24"/>
        </w:rPr>
        <w:t>52</w:t>
      </w:r>
      <w:r w:rsidRPr="00E905FC">
        <w:rPr>
          <w:rFonts w:eastAsia="Times New Roman" w:cs="Times New Roman"/>
          <w:color w:val="000000"/>
          <w:szCs w:val="24"/>
        </w:rPr>
        <w:t>(6), 838–853. https://doi.org/10.1080/00220388.2015.1107045</w:t>
      </w:r>
    </w:p>
    <w:p w14:paraId="4B80615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Karki Nepal, A. (2016). The impact of international remittances on child outcomes and household expenditures in Nepal. </w:t>
      </w:r>
      <w:r w:rsidRPr="00E905FC">
        <w:rPr>
          <w:rFonts w:eastAsia="Times New Roman" w:cs="Times New Roman"/>
          <w:i/>
          <w:iCs/>
          <w:color w:val="000000"/>
          <w:szCs w:val="24"/>
        </w:rPr>
        <w:t>The Journal of Development Studies</w:t>
      </w:r>
      <w:r w:rsidRPr="00E905FC">
        <w:rPr>
          <w:rFonts w:eastAsia="Times New Roman" w:cs="Times New Roman"/>
          <w:color w:val="000000"/>
          <w:szCs w:val="24"/>
        </w:rPr>
        <w:t>, </w:t>
      </w:r>
      <w:r w:rsidRPr="00E905FC">
        <w:rPr>
          <w:rFonts w:eastAsia="Times New Roman" w:cs="Times New Roman"/>
          <w:i/>
          <w:iCs/>
          <w:color w:val="000000"/>
          <w:szCs w:val="24"/>
        </w:rPr>
        <w:t>52</w:t>
      </w:r>
      <w:r w:rsidRPr="00E905FC">
        <w:rPr>
          <w:rFonts w:eastAsia="Times New Roman" w:cs="Times New Roman"/>
          <w:color w:val="000000"/>
          <w:szCs w:val="24"/>
        </w:rPr>
        <w:t>(6), 838–853. https://doi.org/10.1080/00220388.2015.1107045</w:t>
      </w:r>
    </w:p>
    <w:p w14:paraId="1723ECED"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Karpestam, P., &amp; Andersson, F. N. G. (2019). Economic perspectives on migration. In </w:t>
      </w:r>
      <w:r w:rsidRPr="00E905FC">
        <w:rPr>
          <w:rFonts w:eastAsia="Times New Roman" w:cs="Times New Roman"/>
          <w:i/>
          <w:iCs/>
          <w:color w:val="000000"/>
          <w:szCs w:val="24"/>
        </w:rPr>
        <w:t>Routledge International Handbook of Migration Studies</w:t>
      </w:r>
      <w:r w:rsidRPr="00E905FC">
        <w:rPr>
          <w:rFonts w:eastAsia="Times New Roman" w:cs="Times New Roman"/>
          <w:color w:val="000000"/>
          <w:szCs w:val="24"/>
        </w:rPr>
        <w:t> (pp. 3–18). Routledge.</w:t>
      </w:r>
    </w:p>
    <w:p w14:paraId="5845062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Katuwal</w:t>
      </w:r>
      <w:proofErr w:type="spellEnd"/>
      <w:r w:rsidRPr="00E905FC">
        <w:rPr>
          <w:rFonts w:eastAsia="Times New Roman" w:cs="Times New Roman"/>
          <w:color w:val="000000"/>
          <w:szCs w:val="24"/>
        </w:rPr>
        <w:t>, N. (2021). Contribution of remittance to rural economy in Nepal. </w:t>
      </w:r>
      <w:r w:rsidRPr="00E905FC">
        <w:rPr>
          <w:rFonts w:eastAsia="Times New Roman" w:cs="Times New Roman"/>
          <w:i/>
          <w:iCs/>
          <w:color w:val="000000"/>
          <w:szCs w:val="24"/>
        </w:rPr>
        <w:t>International Advanced Research Journal in Science, Engineering and Technology</w:t>
      </w:r>
      <w:r w:rsidRPr="00E905FC">
        <w:rPr>
          <w:rFonts w:eastAsia="Times New Roman" w:cs="Times New Roman"/>
          <w:color w:val="000000"/>
          <w:szCs w:val="24"/>
        </w:rPr>
        <w:t>, </w:t>
      </w:r>
      <w:r w:rsidRPr="00E905FC">
        <w:rPr>
          <w:rFonts w:eastAsia="Times New Roman" w:cs="Times New Roman"/>
          <w:i/>
          <w:iCs/>
          <w:color w:val="000000"/>
          <w:szCs w:val="24"/>
        </w:rPr>
        <w:t>8</w:t>
      </w:r>
      <w:r w:rsidRPr="00E905FC">
        <w:rPr>
          <w:rFonts w:eastAsia="Times New Roman" w:cs="Times New Roman"/>
          <w:color w:val="000000"/>
          <w:szCs w:val="24"/>
        </w:rPr>
        <w:t>(1). https://doi.org/10.17148/iarjset.2021.8103</w:t>
      </w:r>
    </w:p>
    <w:p w14:paraId="6B0A0000"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Khan, F., Siddiqui, M. A., &amp; Imtiaz, S. (2022). Role of financial literacy in achieving financial inclusion: A review, synthesis and research agenda. </w:t>
      </w:r>
      <w:r w:rsidRPr="00E905FC">
        <w:rPr>
          <w:rFonts w:eastAsia="Times New Roman" w:cs="Times New Roman"/>
          <w:i/>
          <w:iCs/>
          <w:color w:val="000000"/>
          <w:szCs w:val="24"/>
        </w:rPr>
        <w:t>Cogent Business &amp; Management</w:t>
      </w:r>
      <w:r w:rsidRPr="00E905FC">
        <w:rPr>
          <w:rFonts w:eastAsia="Times New Roman" w:cs="Times New Roman"/>
          <w:color w:val="000000"/>
          <w:szCs w:val="24"/>
        </w:rPr>
        <w:t>, </w:t>
      </w:r>
      <w:r w:rsidRPr="00E905FC">
        <w:rPr>
          <w:rFonts w:eastAsia="Times New Roman" w:cs="Times New Roman"/>
          <w:i/>
          <w:iCs/>
          <w:color w:val="000000"/>
          <w:szCs w:val="24"/>
        </w:rPr>
        <w:t>9</w:t>
      </w:r>
      <w:r w:rsidRPr="00E905FC">
        <w:rPr>
          <w:rFonts w:eastAsia="Times New Roman" w:cs="Times New Roman"/>
          <w:color w:val="000000"/>
          <w:szCs w:val="24"/>
        </w:rPr>
        <w:t>(1). https://doi.org/10.1080/23311975.2022.2034236</w:t>
      </w:r>
    </w:p>
    <w:p w14:paraId="79AEE72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Kim, J. (2021). Financial development and remittances: The role of institutional quality in developing countries. </w:t>
      </w:r>
      <w:r w:rsidRPr="00E905FC">
        <w:rPr>
          <w:rFonts w:eastAsia="Times New Roman" w:cs="Times New Roman"/>
          <w:i/>
          <w:iCs/>
          <w:color w:val="000000"/>
          <w:szCs w:val="24"/>
        </w:rPr>
        <w:t>Economic Analysis and Policy</w:t>
      </w:r>
      <w:r w:rsidRPr="00E905FC">
        <w:rPr>
          <w:rFonts w:eastAsia="Times New Roman" w:cs="Times New Roman"/>
          <w:color w:val="000000"/>
          <w:szCs w:val="24"/>
        </w:rPr>
        <w:t>, </w:t>
      </w:r>
      <w:r w:rsidRPr="00E905FC">
        <w:rPr>
          <w:rFonts w:eastAsia="Times New Roman" w:cs="Times New Roman"/>
          <w:i/>
          <w:iCs/>
          <w:color w:val="000000"/>
          <w:szCs w:val="24"/>
        </w:rPr>
        <w:t>72</w:t>
      </w:r>
      <w:r w:rsidRPr="00E905FC">
        <w:rPr>
          <w:rFonts w:eastAsia="Times New Roman" w:cs="Times New Roman"/>
          <w:color w:val="000000"/>
          <w:szCs w:val="24"/>
        </w:rPr>
        <w:t>, 386–407. https://doi.org/10.1016/j.eap.2021.09.005</w:t>
      </w:r>
    </w:p>
    <w:p w14:paraId="45E787D5"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Macisaac</w:t>
      </w:r>
      <w:proofErr w:type="spellEnd"/>
      <w:r w:rsidRPr="00E905FC">
        <w:rPr>
          <w:rFonts w:eastAsia="Times New Roman" w:cs="Times New Roman"/>
          <w:color w:val="000000"/>
          <w:szCs w:val="24"/>
        </w:rPr>
        <w:t>, S. (2021). </w:t>
      </w:r>
      <w:r w:rsidRPr="00E905FC">
        <w:rPr>
          <w:rFonts w:eastAsia="Times New Roman" w:cs="Times New Roman"/>
          <w:i/>
          <w:iCs/>
          <w:color w:val="000000"/>
          <w:szCs w:val="24"/>
        </w:rPr>
        <w:t>Show Me the Money: Four Essays on Remittance Transfer Costs, Channel Modality, and Informal Finance Gaps (Doctoral dissertation)</w:t>
      </w:r>
      <w:r w:rsidRPr="00E905FC">
        <w:rPr>
          <w:rFonts w:eastAsia="Times New Roman" w:cs="Times New Roman"/>
          <w:color w:val="000000"/>
          <w:szCs w:val="24"/>
        </w:rPr>
        <w:t>.</w:t>
      </w:r>
    </w:p>
    <w:p w14:paraId="5E52D22A"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Mahapatro</w:t>
      </w:r>
      <w:proofErr w:type="spellEnd"/>
      <w:r w:rsidRPr="00E905FC">
        <w:rPr>
          <w:rFonts w:eastAsia="Times New Roman" w:cs="Times New Roman"/>
          <w:color w:val="000000"/>
          <w:szCs w:val="24"/>
        </w:rPr>
        <w:t>, S., Bailey, A., James, K. S., &amp; Hutter, I. (2017). Remittances and household expenditure patterns in India and selected states. </w:t>
      </w:r>
      <w:r w:rsidRPr="00E905FC">
        <w:rPr>
          <w:rFonts w:eastAsia="Times New Roman" w:cs="Times New Roman"/>
          <w:i/>
          <w:iCs/>
          <w:color w:val="000000"/>
          <w:szCs w:val="24"/>
        </w:rPr>
        <w:t>Migration and Development</w:t>
      </w:r>
      <w:r w:rsidRPr="00E905FC">
        <w:rPr>
          <w:rFonts w:eastAsia="Times New Roman" w:cs="Times New Roman"/>
          <w:color w:val="000000"/>
          <w:szCs w:val="24"/>
        </w:rPr>
        <w:t>, </w:t>
      </w:r>
      <w:r w:rsidRPr="00E905FC">
        <w:rPr>
          <w:rFonts w:eastAsia="Times New Roman" w:cs="Times New Roman"/>
          <w:i/>
          <w:iCs/>
          <w:color w:val="000000"/>
          <w:szCs w:val="24"/>
        </w:rPr>
        <w:t>6</w:t>
      </w:r>
      <w:r w:rsidRPr="00E905FC">
        <w:rPr>
          <w:rFonts w:eastAsia="Times New Roman" w:cs="Times New Roman"/>
          <w:color w:val="000000"/>
          <w:szCs w:val="24"/>
        </w:rPr>
        <w:t>(1), 83–101. https://doi.org/10.1080/21632324.2015.1044316</w:t>
      </w:r>
    </w:p>
    <w:p w14:paraId="2A5582A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lastRenderedPageBreak/>
        <w:t>Mahmud, H. (2020). From individual motivations to social determinants: towards a sociology of migrants’ remittances. </w:t>
      </w:r>
      <w:r w:rsidRPr="00E905FC">
        <w:rPr>
          <w:rFonts w:eastAsia="Times New Roman" w:cs="Times New Roman"/>
          <w:i/>
          <w:iCs/>
          <w:color w:val="000000"/>
          <w:szCs w:val="24"/>
        </w:rPr>
        <w:t>International Social Science Journal</w:t>
      </w:r>
      <w:r w:rsidRPr="00E905FC">
        <w:rPr>
          <w:rFonts w:eastAsia="Times New Roman" w:cs="Times New Roman"/>
          <w:color w:val="000000"/>
          <w:szCs w:val="24"/>
        </w:rPr>
        <w:t>, </w:t>
      </w:r>
      <w:r w:rsidRPr="00E905FC">
        <w:rPr>
          <w:rFonts w:eastAsia="Times New Roman" w:cs="Times New Roman"/>
          <w:i/>
          <w:iCs/>
          <w:color w:val="000000"/>
          <w:szCs w:val="24"/>
        </w:rPr>
        <w:t>70</w:t>
      </w:r>
      <w:r w:rsidRPr="00E905FC">
        <w:rPr>
          <w:rFonts w:eastAsia="Times New Roman" w:cs="Times New Roman"/>
          <w:color w:val="000000"/>
          <w:szCs w:val="24"/>
        </w:rPr>
        <w:t>(237–238), 175–188. https://doi.org/10.1111/issj.12247</w:t>
      </w:r>
    </w:p>
    <w:p w14:paraId="2D822200"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Makina, D. (2024). The long-run relationship between remittances and household consumption: evidence from Lesotho. </w:t>
      </w:r>
      <w:r w:rsidRPr="00E905FC">
        <w:rPr>
          <w:rFonts w:eastAsia="Times New Roman" w:cs="Times New Roman"/>
          <w:i/>
          <w:iCs/>
          <w:color w:val="000000"/>
          <w:szCs w:val="24"/>
        </w:rPr>
        <w:t>Cogent Economics &amp; Finance</w:t>
      </w:r>
      <w:r w:rsidRPr="00E905FC">
        <w:rPr>
          <w:rFonts w:eastAsia="Times New Roman" w:cs="Times New Roman"/>
          <w:color w:val="000000"/>
          <w:szCs w:val="24"/>
        </w:rPr>
        <w:t>, </w:t>
      </w:r>
      <w:r w:rsidRPr="00E905FC">
        <w:rPr>
          <w:rFonts w:eastAsia="Times New Roman" w:cs="Times New Roman"/>
          <w:i/>
          <w:iCs/>
          <w:color w:val="000000"/>
          <w:szCs w:val="24"/>
        </w:rPr>
        <w:t>12</w:t>
      </w:r>
      <w:r w:rsidRPr="00E905FC">
        <w:rPr>
          <w:rFonts w:eastAsia="Times New Roman" w:cs="Times New Roman"/>
          <w:color w:val="000000"/>
          <w:szCs w:val="24"/>
        </w:rPr>
        <w:t>(1). https://doi.org/10.1080/23322039.2024.2307098</w:t>
      </w:r>
    </w:p>
    <w:p w14:paraId="745F31F7"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Mallick, H. (2020). Remittances, consumption, investment, and economic growth. In </w:t>
      </w:r>
      <w:r w:rsidRPr="00E905FC">
        <w:rPr>
          <w:rFonts w:eastAsia="Times New Roman" w:cs="Times New Roman"/>
          <w:i/>
          <w:iCs/>
          <w:color w:val="000000"/>
          <w:szCs w:val="24"/>
        </w:rPr>
        <w:t xml:space="preserve">Governance and </w:t>
      </w:r>
      <w:proofErr w:type="spellStart"/>
      <w:r w:rsidRPr="00E905FC">
        <w:rPr>
          <w:rFonts w:eastAsia="Times New Roman" w:cs="Times New Roman"/>
          <w:i/>
          <w:iCs/>
          <w:color w:val="000000"/>
          <w:szCs w:val="24"/>
        </w:rPr>
        <w:t>Labour</w:t>
      </w:r>
      <w:proofErr w:type="spellEnd"/>
      <w:r w:rsidRPr="00E905FC">
        <w:rPr>
          <w:rFonts w:eastAsia="Times New Roman" w:cs="Times New Roman"/>
          <w:i/>
          <w:iCs/>
          <w:color w:val="000000"/>
          <w:szCs w:val="24"/>
        </w:rPr>
        <w:t xml:space="preserve"> Migration</w:t>
      </w:r>
      <w:r w:rsidRPr="00E905FC">
        <w:rPr>
          <w:rFonts w:eastAsia="Times New Roman" w:cs="Times New Roman"/>
          <w:color w:val="000000"/>
          <w:szCs w:val="24"/>
        </w:rPr>
        <w:t> (pp. 30–67). Routledge India.</w:t>
      </w:r>
    </w:p>
    <w:p w14:paraId="030CB404"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Masron</w:t>
      </w:r>
      <w:proofErr w:type="spellEnd"/>
      <w:r w:rsidRPr="00E905FC">
        <w:rPr>
          <w:rFonts w:eastAsia="Times New Roman" w:cs="Times New Roman"/>
          <w:color w:val="000000"/>
          <w:szCs w:val="24"/>
        </w:rPr>
        <w:t>, T. A., &amp; Subramaniam, Y. (2018). Remittance and poverty in developing countries. </w:t>
      </w:r>
      <w:r w:rsidRPr="00E905FC">
        <w:rPr>
          <w:rFonts w:eastAsia="Times New Roman" w:cs="Times New Roman"/>
          <w:i/>
          <w:iCs/>
          <w:color w:val="000000"/>
          <w:szCs w:val="24"/>
        </w:rPr>
        <w:t>International Journal of Development Issues</w:t>
      </w:r>
      <w:r w:rsidRPr="00E905FC">
        <w:rPr>
          <w:rFonts w:eastAsia="Times New Roman" w:cs="Times New Roman"/>
          <w:color w:val="000000"/>
          <w:szCs w:val="24"/>
        </w:rPr>
        <w:t>, </w:t>
      </w:r>
      <w:r w:rsidRPr="00E905FC">
        <w:rPr>
          <w:rFonts w:eastAsia="Times New Roman" w:cs="Times New Roman"/>
          <w:i/>
          <w:iCs/>
          <w:color w:val="000000"/>
          <w:szCs w:val="24"/>
        </w:rPr>
        <w:t>17</w:t>
      </w:r>
      <w:r w:rsidRPr="00E905FC">
        <w:rPr>
          <w:rFonts w:eastAsia="Times New Roman" w:cs="Times New Roman"/>
          <w:color w:val="000000"/>
          <w:szCs w:val="24"/>
        </w:rPr>
        <w:t>(3), 305–325. https://doi.org/10.1108/ijdi-04-2018-0054</w:t>
      </w:r>
    </w:p>
    <w:p w14:paraId="1962A47E"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Meyer, S. (2023). Introduction: Theorizing remittances — social positioning and the making of migrant subjectivity. In </w:t>
      </w:r>
      <w:r w:rsidRPr="00E905FC">
        <w:rPr>
          <w:rFonts w:eastAsia="Times New Roman" w:cs="Times New Roman"/>
          <w:i/>
          <w:iCs/>
          <w:color w:val="000000"/>
          <w:szCs w:val="24"/>
        </w:rPr>
        <w:t>Remittances as Social Practices and Agents of Change</w:t>
      </w:r>
      <w:r w:rsidRPr="00E905FC">
        <w:rPr>
          <w:rFonts w:eastAsia="Times New Roman" w:cs="Times New Roman"/>
          <w:color w:val="000000"/>
          <w:szCs w:val="24"/>
        </w:rPr>
        <w:t> (pp. 1–25). Springer International Publishing.</w:t>
      </w:r>
    </w:p>
    <w:p w14:paraId="784D419A"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Mishra, K., </w:t>
      </w:r>
      <w:proofErr w:type="spellStart"/>
      <w:r w:rsidRPr="00E905FC">
        <w:rPr>
          <w:rFonts w:eastAsia="Times New Roman" w:cs="Times New Roman"/>
          <w:color w:val="000000"/>
          <w:szCs w:val="24"/>
        </w:rPr>
        <w:t>Kondratjeva</w:t>
      </w:r>
      <w:proofErr w:type="spellEnd"/>
      <w:r w:rsidRPr="00E905FC">
        <w:rPr>
          <w:rFonts w:eastAsia="Times New Roman" w:cs="Times New Roman"/>
          <w:color w:val="000000"/>
          <w:szCs w:val="24"/>
        </w:rPr>
        <w:t>, O., &amp; Shively, G. E. (2022). Do remittances reshape household expenditures? Evidence from Nepal. </w:t>
      </w:r>
      <w:r w:rsidRPr="00E905FC">
        <w:rPr>
          <w:rFonts w:eastAsia="Times New Roman" w:cs="Times New Roman"/>
          <w:i/>
          <w:iCs/>
          <w:color w:val="000000"/>
          <w:szCs w:val="24"/>
        </w:rPr>
        <w:t>World Development</w:t>
      </w:r>
      <w:r w:rsidRPr="00E905FC">
        <w:rPr>
          <w:rFonts w:eastAsia="Times New Roman" w:cs="Times New Roman"/>
          <w:color w:val="000000"/>
          <w:szCs w:val="24"/>
        </w:rPr>
        <w:t>, </w:t>
      </w:r>
      <w:r w:rsidRPr="00E905FC">
        <w:rPr>
          <w:rFonts w:eastAsia="Times New Roman" w:cs="Times New Roman"/>
          <w:i/>
          <w:iCs/>
          <w:color w:val="000000"/>
          <w:szCs w:val="24"/>
        </w:rPr>
        <w:t>157</w:t>
      </w:r>
      <w:r w:rsidRPr="00E905FC">
        <w:rPr>
          <w:rFonts w:eastAsia="Times New Roman" w:cs="Times New Roman"/>
          <w:color w:val="000000"/>
          <w:szCs w:val="24"/>
        </w:rPr>
        <w:t>(105926), 105926. https://doi.org/10.1016/j.worlddev.2022.105926</w:t>
      </w:r>
    </w:p>
    <w:p w14:paraId="46DA9AE5"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Morse, S., &amp; </w:t>
      </w:r>
      <w:proofErr w:type="spellStart"/>
      <w:r w:rsidRPr="00E905FC">
        <w:rPr>
          <w:rFonts w:eastAsia="Times New Roman" w:cs="Times New Roman"/>
          <w:color w:val="000000"/>
          <w:szCs w:val="24"/>
        </w:rPr>
        <w:t>Mcnamara</w:t>
      </w:r>
      <w:proofErr w:type="spellEnd"/>
      <w:r w:rsidRPr="00E905FC">
        <w:rPr>
          <w:rFonts w:eastAsia="Times New Roman" w:cs="Times New Roman"/>
          <w:color w:val="000000"/>
          <w:szCs w:val="24"/>
        </w:rPr>
        <w:t>, N. (2013). </w:t>
      </w:r>
      <w:r w:rsidRPr="00E905FC">
        <w:rPr>
          <w:rFonts w:eastAsia="Times New Roman" w:cs="Times New Roman"/>
          <w:i/>
          <w:iCs/>
          <w:color w:val="000000"/>
          <w:szCs w:val="24"/>
        </w:rPr>
        <w:t>Sustainable livelihood approach: A critique of theory and practice</w:t>
      </w:r>
      <w:r w:rsidRPr="00E905FC">
        <w:rPr>
          <w:rFonts w:eastAsia="Times New Roman" w:cs="Times New Roman"/>
          <w:color w:val="000000"/>
          <w:szCs w:val="24"/>
        </w:rPr>
        <w:t>. Springer Science &amp; Business Media.</w:t>
      </w:r>
    </w:p>
    <w:p w14:paraId="4B751709"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Mpaata</w:t>
      </w:r>
      <w:proofErr w:type="spellEnd"/>
      <w:r w:rsidRPr="00E905FC">
        <w:rPr>
          <w:rFonts w:eastAsia="Times New Roman" w:cs="Times New Roman"/>
          <w:color w:val="000000"/>
          <w:szCs w:val="24"/>
        </w:rPr>
        <w:t>, E., Koske, N., &amp; Saina, E. (2023). Does self-control moderate financial literacy and savings behavior relationship? A case of micro and small enterprise owners. </w:t>
      </w:r>
      <w:r w:rsidRPr="00E905FC">
        <w:rPr>
          <w:rFonts w:eastAsia="Times New Roman" w:cs="Times New Roman"/>
          <w:i/>
          <w:iCs/>
          <w:color w:val="000000"/>
          <w:szCs w:val="24"/>
        </w:rPr>
        <w:t>Current Psychology (New Brunswick, N.J.)</w:t>
      </w:r>
      <w:r w:rsidRPr="00E905FC">
        <w:rPr>
          <w:rFonts w:eastAsia="Times New Roman" w:cs="Times New Roman"/>
          <w:color w:val="000000"/>
          <w:szCs w:val="24"/>
        </w:rPr>
        <w:t>, </w:t>
      </w:r>
      <w:r w:rsidRPr="00E905FC">
        <w:rPr>
          <w:rFonts w:eastAsia="Times New Roman" w:cs="Times New Roman"/>
          <w:i/>
          <w:iCs/>
          <w:color w:val="000000"/>
          <w:szCs w:val="24"/>
        </w:rPr>
        <w:t>42</w:t>
      </w:r>
      <w:r w:rsidRPr="00E905FC">
        <w:rPr>
          <w:rFonts w:eastAsia="Times New Roman" w:cs="Times New Roman"/>
          <w:color w:val="000000"/>
          <w:szCs w:val="24"/>
        </w:rPr>
        <w:t>(12), 10063–10076. https://doi.org/10.1007/s12144-021-02176-7</w:t>
      </w:r>
    </w:p>
    <w:p w14:paraId="660197E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Nathaniel, A. O. (2020). Impact of remittances on healthcare </w:t>
      </w:r>
      <w:proofErr w:type="spellStart"/>
      <w:r w:rsidRPr="00E905FC">
        <w:rPr>
          <w:rFonts w:eastAsia="Times New Roman" w:cs="Times New Roman"/>
          <w:color w:val="000000"/>
          <w:szCs w:val="24"/>
        </w:rPr>
        <w:t>utilisation</w:t>
      </w:r>
      <w:proofErr w:type="spellEnd"/>
      <w:r w:rsidRPr="00E905FC">
        <w:rPr>
          <w:rFonts w:eastAsia="Times New Roman" w:cs="Times New Roman"/>
          <w:color w:val="000000"/>
          <w:szCs w:val="24"/>
        </w:rPr>
        <w:t xml:space="preserve"> and expenditure in developing countries: a systematic review. </w:t>
      </w:r>
      <w:r w:rsidRPr="00E905FC">
        <w:rPr>
          <w:rFonts w:eastAsia="Times New Roman" w:cs="Times New Roman"/>
          <w:i/>
          <w:iCs/>
          <w:color w:val="000000"/>
          <w:szCs w:val="24"/>
        </w:rPr>
        <w:t>Rwanda Journal of Medicine and Health Sciences</w:t>
      </w:r>
      <w:r w:rsidRPr="00E905FC">
        <w:rPr>
          <w:rFonts w:eastAsia="Times New Roman" w:cs="Times New Roman"/>
          <w:color w:val="000000"/>
          <w:szCs w:val="24"/>
        </w:rPr>
        <w:t>, </w:t>
      </w:r>
      <w:r w:rsidRPr="00E905FC">
        <w:rPr>
          <w:rFonts w:eastAsia="Times New Roman" w:cs="Times New Roman"/>
          <w:i/>
          <w:iCs/>
          <w:color w:val="000000"/>
          <w:szCs w:val="24"/>
        </w:rPr>
        <w:t>2</w:t>
      </w:r>
      <w:r w:rsidRPr="00E905FC">
        <w:rPr>
          <w:rFonts w:eastAsia="Times New Roman" w:cs="Times New Roman"/>
          <w:color w:val="000000"/>
          <w:szCs w:val="24"/>
        </w:rPr>
        <w:t>(3), 304. https://doi.org/10.4314/rjmhs.v2i3.15</w:t>
      </w:r>
    </w:p>
    <w:p w14:paraId="662E28E6"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lastRenderedPageBreak/>
        <w:t>Nduhura</w:t>
      </w:r>
      <w:proofErr w:type="spellEnd"/>
      <w:r w:rsidRPr="00E905FC">
        <w:rPr>
          <w:rFonts w:eastAsia="Times New Roman" w:cs="Times New Roman"/>
          <w:color w:val="000000"/>
          <w:szCs w:val="24"/>
        </w:rPr>
        <w:t xml:space="preserve">, T., </w:t>
      </w:r>
      <w:proofErr w:type="spellStart"/>
      <w:r w:rsidRPr="00E905FC">
        <w:rPr>
          <w:rFonts w:eastAsia="Times New Roman" w:cs="Times New Roman"/>
          <w:color w:val="000000"/>
          <w:szCs w:val="24"/>
        </w:rPr>
        <w:t>Tamwesigire</w:t>
      </w:r>
      <w:proofErr w:type="spellEnd"/>
      <w:r w:rsidRPr="00E905FC">
        <w:rPr>
          <w:rFonts w:eastAsia="Times New Roman" w:cs="Times New Roman"/>
          <w:color w:val="000000"/>
          <w:szCs w:val="24"/>
        </w:rPr>
        <w:t>, C., &amp; Sunday, A. (2024). </w:t>
      </w:r>
      <w:r w:rsidRPr="00E905FC">
        <w:rPr>
          <w:rFonts w:eastAsia="Times New Roman" w:cs="Times New Roman"/>
          <w:i/>
          <w:iCs/>
          <w:color w:val="000000"/>
          <w:szCs w:val="24"/>
        </w:rPr>
        <w:t>The Role of Multi-National Companies in the Economic Development of Uganda: A Case Study of MTN</w:t>
      </w:r>
      <w:r w:rsidRPr="00E905FC">
        <w:rPr>
          <w:rFonts w:eastAsia="Times New Roman" w:cs="Times New Roman"/>
          <w:color w:val="000000"/>
          <w:szCs w:val="24"/>
        </w:rPr>
        <w:t>.</w:t>
      </w:r>
    </w:p>
    <w:p w14:paraId="13E3FC8A"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Nepal, P. (2023). An Overview of Financial Inclusion in Nepal. </w:t>
      </w:r>
      <w:r w:rsidRPr="00E905FC">
        <w:rPr>
          <w:rFonts w:eastAsia="Times New Roman" w:cs="Times New Roman"/>
          <w:i/>
          <w:iCs/>
          <w:color w:val="000000"/>
          <w:szCs w:val="24"/>
        </w:rPr>
        <w:t>Kalika Journal of Multidisciplinary Research</w:t>
      </w:r>
      <w:r w:rsidRPr="00E905FC">
        <w:rPr>
          <w:rFonts w:eastAsia="Times New Roman" w:cs="Times New Roman"/>
          <w:color w:val="000000"/>
          <w:szCs w:val="24"/>
        </w:rPr>
        <w:t>, </w:t>
      </w:r>
      <w:r w:rsidRPr="00E905FC">
        <w:rPr>
          <w:rFonts w:eastAsia="Times New Roman" w:cs="Times New Roman"/>
          <w:i/>
          <w:iCs/>
          <w:color w:val="000000"/>
          <w:szCs w:val="24"/>
        </w:rPr>
        <w:t>1</w:t>
      </w:r>
      <w:r w:rsidRPr="00E905FC">
        <w:rPr>
          <w:rFonts w:eastAsia="Times New Roman" w:cs="Times New Roman"/>
          <w:color w:val="000000"/>
          <w:szCs w:val="24"/>
        </w:rPr>
        <w:t>(1), 1–13. https://doi.org/10.3126/kjmr.v1i1.61485</w:t>
      </w:r>
    </w:p>
    <w:p w14:paraId="2C5BECB6"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Nepal, R. (2013). </w:t>
      </w:r>
      <w:r w:rsidRPr="00E905FC">
        <w:rPr>
          <w:rFonts w:eastAsia="Times New Roman" w:cs="Times New Roman"/>
          <w:i/>
          <w:iCs/>
          <w:color w:val="000000"/>
          <w:szCs w:val="24"/>
        </w:rPr>
        <w:t>Remittances and livelihood strategies: A case study in eastern Nepal</w:t>
      </w:r>
      <w:r w:rsidRPr="00E905FC">
        <w:rPr>
          <w:rFonts w:eastAsia="Times New Roman" w:cs="Times New Roman"/>
          <w:color w:val="000000"/>
          <w:szCs w:val="24"/>
        </w:rPr>
        <w:t xml:space="preserve"> (Vol. 14). </w:t>
      </w:r>
      <w:proofErr w:type="spellStart"/>
      <w:r w:rsidRPr="00E905FC">
        <w:rPr>
          <w:rFonts w:eastAsia="Times New Roman" w:cs="Times New Roman"/>
          <w:color w:val="000000"/>
          <w:szCs w:val="24"/>
        </w:rPr>
        <w:t>kassel</w:t>
      </w:r>
      <w:proofErr w:type="spellEnd"/>
      <w:r w:rsidRPr="00E905FC">
        <w:rPr>
          <w:rFonts w:eastAsia="Times New Roman" w:cs="Times New Roman"/>
          <w:color w:val="000000"/>
          <w:szCs w:val="24"/>
        </w:rPr>
        <w:t xml:space="preserve"> university press GmbH.</w:t>
      </w:r>
    </w:p>
    <w:p w14:paraId="5D94CCE5"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Niankara</w:t>
      </w:r>
      <w:proofErr w:type="spellEnd"/>
      <w:r w:rsidRPr="00E905FC">
        <w:rPr>
          <w:rFonts w:eastAsia="Times New Roman" w:cs="Times New Roman"/>
          <w:color w:val="000000"/>
          <w:szCs w:val="24"/>
        </w:rPr>
        <w:t xml:space="preserve">, I., &amp; </w:t>
      </w:r>
      <w:proofErr w:type="spellStart"/>
      <w:r w:rsidRPr="00E905FC">
        <w:rPr>
          <w:rFonts w:eastAsia="Times New Roman" w:cs="Times New Roman"/>
          <w:color w:val="000000"/>
          <w:szCs w:val="24"/>
        </w:rPr>
        <w:t>Traoret</w:t>
      </w:r>
      <w:proofErr w:type="spellEnd"/>
      <w:r w:rsidRPr="00E905FC">
        <w:rPr>
          <w:rFonts w:eastAsia="Times New Roman" w:cs="Times New Roman"/>
          <w:color w:val="000000"/>
          <w:szCs w:val="24"/>
        </w:rPr>
        <w:t>, R. I. (2023). Towards an encompassing concept of remittance in the digital era: Assessing the role of formal banking and mobile money accounting in its spatial flow. </w:t>
      </w:r>
      <w:r w:rsidRPr="00E905FC">
        <w:rPr>
          <w:rFonts w:eastAsia="Times New Roman" w:cs="Times New Roman"/>
          <w:i/>
          <w:iCs/>
          <w:color w:val="000000"/>
          <w:szCs w:val="24"/>
        </w:rPr>
        <w:t>Journal of Open Innovation: Technology, Market, and Complexity</w:t>
      </w:r>
      <w:r w:rsidRPr="00E905FC">
        <w:rPr>
          <w:rFonts w:eastAsia="Times New Roman" w:cs="Times New Roman"/>
          <w:color w:val="000000"/>
          <w:szCs w:val="24"/>
        </w:rPr>
        <w:t>, </w:t>
      </w:r>
      <w:r w:rsidRPr="00E905FC">
        <w:rPr>
          <w:rFonts w:eastAsia="Times New Roman" w:cs="Times New Roman"/>
          <w:i/>
          <w:iCs/>
          <w:color w:val="000000"/>
          <w:szCs w:val="24"/>
        </w:rPr>
        <w:t>9</w:t>
      </w:r>
      <w:r w:rsidRPr="00E905FC">
        <w:rPr>
          <w:rFonts w:eastAsia="Times New Roman" w:cs="Times New Roman"/>
          <w:color w:val="000000"/>
          <w:szCs w:val="24"/>
        </w:rPr>
        <w:t>(3).</w:t>
      </w:r>
    </w:p>
    <w:p w14:paraId="308551A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Nzima, D., Duma, V., &amp; Moyo, P. (2017). Theorizing migration-development interactions: towards an integrated approach. </w:t>
      </w:r>
      <w:r w:rsidRPr="00E905FC">
        <w:rPr>
          <w:rFonts w:eastAsia="Times New Roman" w:cs="Times New Roman"/>
          <w:i/>
          <w:iCs/>
          <w:color w:val="000000"/>
          <w:szCs w:val="24"/>
        </w:rPr>
        <w:t>Migration and Development</w:t>
      </w:r>
      <w:r w:rsidRPr="00E905FC">
        <w:rPr>
          <w:rFonts w:eastAsia="Times New Roman" w:cs="Times New Roman"/>
          <w:color w:val="000000"/>
          <w:szCs w:val="24"/>
        </w:rPr>
        <w:t>, </w:t>
      </w:r>
      <w:r w:rsidRPr="00E905FC">
        <w:rPr>
          <w:rFonts w:eastAsia="Times New Roman" w:cs="Times New Roman"/>
          <w:i/>
          <w:iCs/>
          <w:color w:val="000000"/>
          <w:szCs w:val="24"/>
        </w:rPr>
        <w:t>6</w:t>
      </w:r>
      <w:r w:rsidRPr="00E905FC">
        <w:rPr>
          <w:rFonts w:eastAsia="Times New Roman" w:cs="Times New Roman"/>
          <w:color w:val="000000"/>
          <w:szCs w:val="24"/>
        </w:rPr>
        <w:t>(2), 305–318. https://doi.org/10.1080/21632324.2016.1147897</w:t>
      </w:r>
    </w:p>
    <w:p w14:paraId="059AFD3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Nzima, D., Duma, V., Moyo, P., &amp; Hare, A. (2016). Migrant remittances, livelihoods and investment: Evidence from </w:t>
      </w:r>
      <w:proofErr w:type="spellStart"/>
      <w:r w:rsidRPr="00E905FC">
        <w:rPr>
          <w:rFonts w:eastAsia="Times New Roman" w:cs="Times New Roman"/>
          <w:color w:val="000000"/>
          <w:szCs w:val="24"/>
        </w:rPr>
        <w:t>tsholotsho</w:t>
      </w:r>
      <w:proofErr w:type="spellEnd"/>
      <w:r w:rsidRPr="00E905FC">
        <w:rPr>
          <w:rFonts w:eastAsia="Times New Roman" w:cs="Times New Roman"/>
          <w:color w:val="000000"/>
          <w:szCs w:val="24"/>
        </w:rPr>
        <w:t xml:space="preserve"> district in the </w:t>
      </w:r>
      <w:proofErr w:type="spellStart"/>
      <w:r w:rsidRPr="00E905FC">
        <w:rPr>
          <w:rFonts w:eastAsia="Times New Roman" w:cs="Times New Roman"/>
          <w:color w:val="000000"/>
          <w:szCs w:val="24"/>
        </w:rPr>
        <w:t>matabeleland</w:t>
      </w:r>
      <w:proofErr w:type="spellEnd"/>
      <w:r w:rsidRPr="00E905FC">
        <w:rPr>
          <w:rFonts w:eastAsia="Times New Roman" w:cs="Times New Roman"/>
          <w:color w:val="000000"/>
          <w:szCs w:val="24"/>
        </w:rPr>
        <w:t xml:space="preserve"> north province of Zimbabwe. </w:t>
      </w:r>
      <w:proofErr w:type="spellStart"/>
      <w:r w:rsidRPr="00E905FC">
        <w:rPr>
          <w:rFonts w:eastAsia="Times New Roman" w:cs="Times New Roman"/>
          <w:i/>
          <w:iCs/>
          <w:color w:val="000000"/>
          <w:szCs w:val="24"/>
        </w:rPr>
        <w:t>Migracijske</w:t>
      </w:r>
      <w:proofErr w:type="spellEnd"/>
      <w:r w:rsidRPr="00E905FC">
        <w:rPr>
          <w:rFonts w:eastAsia="Times New Roman" w:cs="Times New Roman"/>
          <w:i/>
          <w:iCs/>
          <w:color w:val="000000"/>
          <w:szCs w:val="24"/>
        </w:rPr>
        <w:t xml:space="preserve"> </w:t>
      </w:r>
      <w:proofErr w:type="spellStart"/>
      <w:r w:rsidRPr="00E905FC">
        <w:rPr>
          <w:rFonts w:eastAsia="Times New Roman" w:cs="Times New Roman"/>
          <w:i/>
          <w:iCs/>
          <w:color w:val="000000"/>
          <w:szCs w:val="24"/>
        </w:rPr>
        <w:t>i</w:t>
      </w:r>
      <w:proofErr w:type="spellEnd"/>
      <w:r w:rsidRPr="00E905FC">
        <w:rPr>
          <w:rFonts w:eastAsia="Times New Roman" w:cs="Times New Roman"/>
          <w:i/>
          <w:iCs/>
          <w:color w:val="000000"/>
          <w:szCs w:val="24"/>
        </w:rPr>
        <w:t xml:space="preserve"> </w:t>
      </w:r>
      <w:proofErr w:type="spellStart"/>
      <w:r w:rsidRPr="00E905FC">
        <w:rPr>
          <w:rFonts w:eastAsia="Times New Roman" w:cs="Times New Roman"/>
          <w:i/>
          <w:iCs/>
          <w:color w:val="000000"/>
          <w:szCs w:val="24"/>
        </w:rPr>
        <w:t>Etničke</w:t>
      </w:r>
      <w:proofErr w:type="spellEnd"/>
      <w:r w:rsidRPr="00E905FC">
        <w:rPr>
          <w:rFonts w:eastAsia="Times New Roman" w:cs="Times New Roman"/>
          <w:i/>
          <w:iCs/>
          <w:color w:val="000000"/>
          <w:szCs w:val="24"/>
        </w:rPr>
        <w:t xml:space="preserve"> Teme / Migration and Ethnic Themes</w:t>
      </w:r>
      <w:r w:rsidRPr="00E905FC">
        <w:rPr>
          <w:rFonts w:eastAsia="Times New Roman" w:cs="Times New Roman"/>
          <w:color w:val="000000"/>
          <w:szCs w:val="24"/>
        </w:rPr>
        <w:t>, </w:t>
      </w:r>
      <w:r w:rsidRPr="00E905FC">
        <w:rPr>
          <w:rFonts w:eastAsia="Times New Roman" w:cs="Times New Roman"/>
          <w:i/>
          <w:iCs/>
          <w:color w:val="000000"/>
          <w:szCs w:val="24"/>
        </w:rPr>
        <w:t>32</w:t>
      </w:r>
      <w:r w:rsidRPr="00E905FC">
        <w:rPr>
          <w:rFonts w:eastAsia="Times New Roman" w:cs="Times New Roman"/>
          <w:color w:val="000000"/>
          <w:szCs w:val="24"/>
        </w:rPr>
        <w:t>(1), 37–62. https://doi.org/10.11567/met.32.1.2</w:t>
      </w:r>
    </w:p>
    <w:p w14:paraId="25F0F6A2"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Opiniano</w:t>
      </w:r>
      <w:proofErr w:type="spellEnd"/>
      <w:r w:rsidRPr="00E905FC">
        <w:rPr>
          <w:rFonts w:eastAsia="Times New Roman" w:cs="Times New Roman"/>
          <w:color w:val="000000"/>
          <w:szCs w:val="24"/>
        </w:rPr>
        <w:t>, J. M. (2021). Remittances and the financial capabilities of migrant households in the Philippines. </w:t>
      </w:r>
      <w:r w:rsidRPr="00E905FC">
        <w:rPr>
          <w:rFonts w:eastAsia="Times New Roman" w:cs="Times New Roman"/>
          <w:i/>
          <w:iCs/>
          <w:color w:val="000000"/>
          <w:szCs w:val="24"/>
        </w:rPr>
        <w:t>Asian and Pacific Migration Journal: APMJ</w:t>
      </w:r>
      <w:r w:rsidRPr="00E905FC">
        <w:rPr>
          <w:rFonts w:eastAsia="Times New Roman" w:cs="Times New Roman"/>
          <w:color w:val="000000"/>
          <w:szCs w:val="24"/>
        </w:rPr>
        <w:t>, </w:t>
      </w:r>
      <w:r w:rsidRPr="00E905FC">
        <w:rPr>
          <w:rFonts w:eastAsia="Times New Roman" w:cs="Times New Roman"/>
          <w:i/>
          <w:iCs/>
          <w:color w:val="000000"/>
          <w:szCs w:val="24"/>
        </w:rPr>
        <w:t>30</w:t>
      </w:r>
      <w:r w:rsidRPr="00E905FC">
        <w:rPr>
          <w:rFonts w:eastAsia="Times New Roman" w:cs="Times New Roman"/>
          <w:color w:val="000000"/>
          <w:szCs w:val="24"/>
        </w:rPr>
        <w:t>(3), 370–385. https://doi.org/10.1177/01171968211044573</w:t>
      </w:r>
    </w:p>
    <w:p w14:paraId="28325B8D"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Pant, B. (2011). Harnessing remittances for productive use in Nepal. </w:t>
      </w:r>
      <w:r w:rsidRPr="00E905FC">
        <w:rPr>
          <w:rFonts w:eastAsia="Times New Roman" w:cs="Times New Roman"/>
          <w:i/>
          <w:iCs/>
          <w:color w:val="000000"/>
          <w:szCs w:val="24"/>
        </w:rPr>
        <w:t>NRB Economic Review</w:t>
      </w:r>
      <w:r w:rsidRPr="00E905FC">
        <w:rPr>
          <w:rFonts w:eastAsia="Times New Roman" w:cs="Times New Roman"/>
          <w:color w:val="000000"/>
          <w:szCs w:val="24"/>
        </w:rPr>
        <w:t>, </w:t>
      </w:r>
      <w:r w:rsidRPr="00E905FC">
        <w:rPr>
          <w:rFonts w:eastAsia="Times New Roman" w:cs="Times New Roman"/>
          <w:i/>
          <w:iCs/>
          <w:color w:val="000000"/>
          <w:szCs w:val="24"/>
        </w:rPr>
        <w:t>23</w:t>
      </w:r>
      <w:r w:rsidRPr="00E905FC">
        <w:rPr>
          <w:rFonts w:eastAsia="Times New Roman" w:cs="Times New Roman"/>
          <w:color w:val="000000"/>
          <w:szCs w:val="24"/>
        </w:rPr>
        <w:t>(1), 1–20. https://doi.org/10.3126/nrber.v23i1.52747</w:t>
      </w:r>
    </w:p>
    <w:p w14:paraId="2EEEFAA1"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Parajuli, C., </w:t>
      </w:r>
      <w:proofErr w:type="spellStart"/>
      <w:r w:rsidRPr="00E905FC">
        <w:rPr>
          <w:rFonts w:eastAsia="Times New Roman" w:cs="Times New Roman"/>
          <w:color w:val="000000"/>
          <w:szCs w:val="24"/>
        </w:rPr>
        <w:t>Naupane</w:t>
      </w:r>
      <w:proofErr w:type="spellEnd"/>
      <w:r w:rsidRPr="00E905FC">
        <w:rPr>
          <w:rFonts w:eastAsia="Times New Roman" w:cs="Times New Roman"/>
          <w:color w:val="000000"/>
          <w:szCs w:val="24"/>
        </w:rPr>
        <w:t xml:space="preserve">, B. K., Khatri, B. B., &amp; Koirala, A. (2023). Patterns and Trends of Out-migration in </w:t>
      </w:r>
      <w:proofErr w:type="spellStart"/>
      <w:r w:rsidRPr="00E905FC">
        <w:rPr>
          <w:rFonts w:eastAsia="Times New Roman" w:cs="Times New Roman"/>
          <w:color w:val="000000"/>
          <w:szCs w:val="24"/>
        </w:rPr>
        <w:t>Syangja</w:t>
      </w:r>
      <w:proofErr w:type="spellEnd"/>
      <w:r w:rsidRPr="00E905FC">
        <w:rPr>
          <w:rFonts w:eastAsia="Times New Roman" w:cs="Times New Roman"/>
          <w:color w:val="000000"/>
          <w:szCs w:val="24"/>
        </w:rPr>
        <w:t xml:space="preserve"> District of Nepal. </w:t>
      </w:r>
      <w:proofErr w:type="spellStart"/>
      <w:r w:rsidRPr="00E905FC">
        <w:rPr>
          <w:rFonts w:eastAsia="Times New Roman" w:cs="Times New Roman"/>
          <w:i/>
          <w:iCs/>
          <w:color w:val="000000"/>
          <w:szCs w:val="24"/>
        </w:rPr>
        <w:t>Ganeshman</w:t>
      </w:r>
      <w:proofErr w:type="spellEnd"/>
      <w:r w:rsidRPr="00E905FC">
        <w:rPr>
          <w:rFonts w:eastAsia="Times New Roman" w:cs="Times New Roman"/>
          <w:i/>
          <w:iCs/>
          <w:color w:val="000000"/>
          <w:szCs w:val="24"/>
        </w:rPr>
        <w:t xml:space="preserve"> Darpan</w:t>
      </w:r>
      <w:r w:rsidRPr="00E905FC">
        <w:rPr>
          <w:rFonts w:eastAsia="Times New Roman" w:cs="Times New Roman"/>
          <w:color w:val="000000"/>
          <w:szCs w:val="24"/>
        </w:rPr>
        <w:t>, </w:t>
      </w:r>
      <w:r w:rsidRPr="00E905FC">
        <w:rPr>
          <w:rFonts w:eastAsia="Times New Roman" w:cs="Times New Roman"/>
          <w:i/>
          <w:iCs/>
          <w:color w:val="000000"/>
          <w:szCs w:val="24"/>
        </w:rPr>
        <w:t>8</w:t>
      </w:r>
      <w:r w:rsidRPr="00E905FC">
        <w:rPr>
          <w:rFonts w:eastAsia="Times New Roman" w:cs="Times New Roman"/>
          <w:color w:val="000000"/>
          <w:szCs w:val="24"/>
        </w:rPr>
        <w:t>(1), 20–34.</w:t>
      </w:r>
    </w:p>
    <w:p w14:paraId="2111B421"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lastRenderedPageBreak/>
        <w:t xml:space="preserve">Radic, M. N., Bogdan, S., &amp; </w:t>
      </w:r>
      <w:proofErr w:type="spellStart"/>
      <w:r w:rsidRPr="00E905FC">
        <w:rPr>
          <w:rFonts w:eastAsia="Times New Roman" w:cs="Times New Roman"/>
          <w:color w:val="000000"/>
          <w:szCs w:val="24"/>
        </w:rPr>
        <w:t>Beloglavec</w:t>
      </w:r>
      <w:proofErr w:type="spellEnd"/>
      <w:r w:rsidRPr="00E905FC">
        <w:rPr>
          <w:rFonts w:eastAsia="Times New Roman" w:cs="Times New Roman"/>
          <w:color w:val="000000"/>
          <w:szCs w:val="24"/>
        </w:rPr>
        <w:t>, S. T. (2023). The significance of remittance in fostering economic growth: a bibliometric and systematic literature review. </w:t>
      </w:r>
      <w:r w:rsidRPr="00E905FC">
        <w:rPr>
          <w:rFonts w:eastAsia="Times New Roman" w:cs="Times New Roman"/>
          <w:i/>
          <w:iCs/>
          <w:color w:val="000000"/>
          <w:szCs w:val="24"/>
        </w:rPr>
        <w:t>Intellectual Economics</w:t>
      </w:r>
      <w:r w:rsidRPr="00E905FC">
        <w:rPr>
          <w:rFonts w:eastAsia="Times New Roman" w:cs="Times New Roman"/>
          <w:color w:val="000000"/>
          <w:szCs w:val="24"/>
        </w:rPr>
        <w:t>, </w:t>
      </w:r>
      <w:r w:rsidRPr="00E905FC">
        <w:rPr>
          <w:rFonts w:eastAsia="Times New Roman" w:cs="Times New Roman"/>
          <w:i/>
          <w:iCs/>
          <w:color w:val="000000"/>
          <w:szCs w:val="24"/>
        </w:rPr>
        <w:t>17</w:t>
      </w:r>
      <w:r w:rsidRPr="00E905FC">
        <w:rPr>
          <w:rFonts w:eastAsia="Times New Roman" w:cs="Times New Roman"/>
          <w:color w:val="000000"/>
          <w:szCs w:val="24"/>
        </w:rPr>
        <w:t>(1), 206–231.</w:t>
      </w:r>
    </w:p>
    <w:p w14:paraId="3F380DF6"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Ramachandran, S., &amp; Crush, J. (2024). Migrant remittances, social protection and the Sustainable Development Goals. In </w:t>
      </w:r>
      <w:r w:rsidRPr="00E905FC">
        <w:rPr>
          <w:rFonts w:eastAsia="Times New Roman" w:cs="Times New Roman"/>
          <w:i/>
          <w:iCs/>
          <w:color w:val="000000"/>
          <w:szCs w:val="24"/>
        </w:rPr>
        <w:t>The Elgar Companion to Migration and the Sustainable Development Goals</w:t>
      </w:r>
      <w:r w:rsidRPr="00E905FC">
        <w:rPr>
          <w:rFonts w:eastAsia="Times New Roman" w:cs="Times New Roman"/>
          <w:color w:val="000000"/>
          <w:szCs w:val="24"/>
        </w:rPr>
        <w:t> (pp. 179–193). Edward Elgar Publishing.</w:t>
      </w:r>
    </w:p>
    <w:p w14:paraId="647C6424"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Raut, N. K., &amp; Tanaka, R. (2018). Parental absence, remittances and educational investment in children left behind: Evidence from Nepal. </w:t>
      </w:r>
      <w:r w:rsidRPr="00E905FC">
        <w:rPr>
          <w:rFonts w:eastAsia="Times New Roman" w:cs="Times New Roman"/>
          <w:i/>
          <w:iCs/>
          <w:color w:val="000000"/>
          <w:szCs w:val="24"/>
        </w:rPr>
        <w:t>Review of Development Economics</w:t>
      </w:r>
      <w:r w:rsidRPr="00E905FC">
        <w:rPr>
          <w:rFonts w:eastAsia="Times New Roman" w:cs="Times New Roman"/>
          <w:color w:val="000000"/>
          <w:szCs w:val="24"/>
        </w:rPr>
        <w:t>, </w:t>
      </w:r>
      <w:r w:rsidRPr="00E905FC">
        <w:rPr>
          <w:rFonts w:eastAsia="Times New Roman" w:cs="Times New Roman"/>
          <w:i/>
          <w:iCs/>
          <w:color w:val="000000"/>
          <w:szCs w:val="24"/>
        </w:rPr>
        <w:t>22</w:t>
      </w:r>
      <w:r w:rsidRPr="00E905FC">
        <w:rPr>
          <w:rFonts w:eastAsia="Times New Roman" w:cs="Times New Roman"/>
          <w:color w:val="000000"/>
          <w:szCs w:val="24"/>
        </w:rPr>
        <w:t>(4), 1642–1666. https://doi.org/10.1111/rode.12410</w:t>
      </w:r>
    </w:p>
    <w:p w14:paraId="131AA7C0"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Robb, C. A. (2011). Financial knowledge and credit card behavior of college students. </w:t>
      </w:r>
      <w:r w:rsidRPr="00E905FC">
        <w:rPr>
          <w:rFonts w:eastAsia="Times New Roman" w:cs="Times New Roman"/>
          <w:i/>
          <w:iCs/>
          <w:color w:val="000000"/>
          <w:szCs w:val="24"/>
        </w:rPr>
        <w:t>Journal of Family and Economic Issues</w:t>
      </w:r>
      <w:r w:rsidRPr="00E905FC">
        <w:rPr>
          <w:rFonts w:eastAsia="Times New Roman" w:cs="Times New Roman"/>
          <w:color w:val="000000"/>
          <w:szCs w:val="24"/>
        </w:rPr>
        <w:t>, </w:t>
      </w:r>
      <w:r w:rsidRPr="00E905FC">
        <w:rPr>
          <w:rFonts w:eastAsia="Times New Roman" w:cs="Times New Roman"/>
          <w:i/>
          <w:iCs/>
          <w:color w:val="000000"/>
          <w:szCs w:val="24"/>
        </w:rPr>
        <w:t>32</w:t>
      </w:r>
      <w:r w:rsidRPr="00E905FC">
        <w:rPr>
          <w:rFonts w:eastAsia="Times New Roman" w:cs="Times New Roman"/>
          <w:color w:val="000000"/>
          <w:szCs w:val="24"/>
        </w:rPr>
        <w:t>(4), 690–698. https://doi.org/10.1007/s10834-011-9259-y</w:t>
      </w:r>
    </w:p>
    <w:p w14:paraId="00A22F1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Rosenberg, K., Karki, B. K., &amp; Kurian, R. (2017). Financial literacy is key for optimizing the development potential of remittances. In </w:t>
      </w:r>
      <w:r w:rsidRPr="00E905FC">
        <w:rPr>
          <w:rFonts w:eastAsia="Times New Roman" w:cs="Times New Roman"/>
          <w:i/>
          <w:iCs/>
          <w:color w:val="000000"/>
          <w:szCs w:val="24"/>
        </w:rPr>
        <w:t xml:space="preserve">EADI NORDIC 2017: </w:t>
      </w:r>
      <w:proofErr w:type="spellStart"/>
      <w:r w:rsidRPr="00E905FC">
        <w:rPr>
          <w:rFonts w:eastAsia="Times New Roman" w:cs="Times New Roman"/>
          <w:i/>
          <w:iCs/>
          <w:color w:val="000000"/>
          <w:szCs w:val="24"/>
        </w:rPr>
        <w:t>Globalisation</w:t>
      </w:r>
      <w:proofErr w:type="spellEnd"/>
      <w:r w:rsidRPr="00E905FC">
        <w:rPr>
          <w:rFonts w:eastAsia="Times New Roman" w:cs="Times New Roman"/>
          <w:i/>
          <w:iCs/>
          <w:color w:val="000000"/>
          <w:szCs w:val="24"/>
        </w:rPr>
        <w:t xml:space="preserve"> at the Crossroads. Rethinking Inequalities and Boundaries</w:t>
      </w:r>
      <w:r w:rsidRPr="00E905FC">
        <w:rPr>
          <w:rFonts w:eastAsia="Times New Roman" w:cs="Times New Roman"/>
          <w:color w:val="000000"/>
          <w:szCs w:val="24"/>
        </w:rPr>
        <w:t>.</w:t>
      </w:r>
    </w:p>
    <w:p w14:paraId="68F563FD"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Saguin</w:t>
      </w:r>
      <w:proofErr w:type="spellEnd"/>
      <w:r w:rsidRPr="00E905FC">
        <w:rPr>
          <w:rFonts w:eastAsia="Times New Roman" w:cs="Times New Roman"/>
          <w:color w:val="000000"/>
          <w:szCs w:val="24"/>
        </w:rPr>
        <w:t>, K. (2020). Returning broke and broken? Return migration, reintegration and transnational social protection in the Philippines. </w:t>
      </w:r>
      <w:r w:rsidRPr="00E905FC">
        <w:rPr>
          <w:rFonts w:eastAsia="Times New Roman" w:cs="Times New Roman"/>
          <w:i/>
          <w:iCs/>
          <w:color w:val="000000"/>
          <w:szCs w:val="24"/>
        </w:rPr>
        <w:t>Migration and Development</w:t>
      </w:r>
      <w:r w:rsidRPr="00E905FC">
        <w:rPr>
          <w:rFonts w:eastAsia="Times New Roman" w:cs="Times New Roman"/>
          <w:color w:val="000000"/>
          <w:szCs w:val="24"/>
        </w:rPr>
        <w:t>, </w:t>
      </w:r>
      <w:r w:rsidRPr="00E905FC">
        <w:rPr>
          <w:rFonts w:eastAsia="Times New Roman" w:cs="Times New Roman"/>
          <w:i/>
          <w:iCs/>
          <w:color w:val="000000"/>
          <w:szCs w:val="24"/>
        </w:rPr>
        <w:t>9</w:t>
      </w:r>
      <w:r w:rsidRPr="00E905FC">
        <w:rPr>
          <w:rFonts w:eastAsia="Times New Roman" w:cs="Times New Roman"/>
          <w:color w:val="000000"/>
          <w:szCs w:val="24"/>
        </w:rPr>
        <w:t>(3), 352–368. https://doi.org/10.1080/21632324.2020.1787100</w:t>
      </w:r>
    </w:p>
    <w:p w14:paraId="2909CA90"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Sah, B. N. (2019). Remittance and economic development of Nepal. </w:t>
      </w:r>
      <w:r w:rsidRPr="00E905FC">
        <w:rPr>
          <w:rFonts w:eastAsia="Times New Roman" w:cs="Times New Roman"/>
          <w:i/>
          <w:iCs/>
          <w:color w:val="000000"/>
          <w:szCs w:val="24"/>
        </w:rPr>
        <w:t>Patan Pragya</w:t>
      </w:r>
      <w:r w:rsidRPr="00E905FC">
        <w:rPr>
          <w:rFonts w:eastAsia="Times New Roman" w:cs="Times New Roman"/>
          <w:color w:val="000000"/>
          <w:szCs w:val="24"/>
        </w:rPr>
        <w:t>, </w:t>
      </w:r>
      <w:r w:rsidRPr="00E905FC">
        <w:rPr>
          <w:rFonts w:eastAsia="Times New Roman" w:cs="Times New Roman"/>
          <w:i/>
          <w:iCs/>
          <w:color w:val="000000"/>
          <w:szCs w:val="24"/>
        </w:rPr>
        <w:t>5</w:t>
      </w:r>
      <w:r w:rsidRPr="00E905FC">
        <w:rPr>
          <w:rFonts w:eastAsia="Times New Roman" w:cs="Times New Roman"/>
          <w:color w:val="000000"/>
          <w:szCs w:val="24"/>
        </w:rPr>
        <w:t>(1), 196–208. https://doi.org/10.3126/pragya.v5i1.30475</w:t>
      </w:r>
    </w:p>
    <w:p w14:paraId="77ACB99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Sana, M., &amp; Massey, D. S. (2005). Household composition, family migration, and community context: Migrant remittances in four countries</w:t>
      </w:r>
      <w:r w:rsidRPr="00E905FC">
        <w:rPr>
          <w:rFonts w:eastAsia="Times New Roman" w:cs="Times New Roman"/>
          <w:color w:val="000000"/>
          <w:szCs w:val="24"/>
          <w:vertAlign w:val="superscript"/>
        </w:rPr>
        <w:t>*</w:t>
      </w:r>
      <w:r w:rsidRPr="00E905FC">
        <w:rPr>
          <w:rFonts w:eastAsia="Times New Roman" w:cs="Times New Roman"/>
          <w:color w:val="000000"/>
          <w:szCs w:val="24"/>
        </w:rPr>
        <w:t>. </w:t>
      </w:r>
      <w:r w:rsidRPr="00E905FC">
        <w:rPr>
          <w:rFonts w:eastAsia="Times New Roman" w:cs="Times New Roman"/>
          <w:i/>
          <w:iCs/>
          <w:color w:val="000000"/>
          <w:szCs w:val="24"/>
        </w:rPr>
        <w:t>Social Science Quarterly</w:t>
      </w:r>
      <w:r w:rsidRPr="00E905FC">
        <w:rPr>
          <w:rFonts w:eastAsia="Times New Roman" w:cs="Times New Roman"/>
          <w:color w:val="000000"/>
          <w:szCs w:val="24"/>
        </w:rPr>
        <w:t>, </w:t>
      </w:r>
      <w:r w:rsidRPr="00E905FC">
        <w:rPr>
          <w:rFonts w:eastAsia="Times New Roman" w:cs="Times New Roman"/>
          <w:i/>
          <w:iCs/>
          <w:color w:val="000000"/>
          <w:szCs w:val="24"/>
        </w:rPr>
        <w:t>86</w:t>
      </w:r>
      <w:r w:rsidRPr="00E905FC">
        <w:rPr>
          <w:rFonts w:eastAsia="Times New Roman" w:cs="Times New Roman"/>
          <w:color w:val="000000"/>
          <w:szCs w:val="24"/>
        </w:rPr>
        <w:t>(2), 509–528. https://doi.org/10.1111/j.0038-4941.2005.00315.x</w:t>
      </w:r>
    </w:p>
    <w:p w14:paraId="385900C5"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Sapkota, C. (2013). Remittances in Nepal: Boon or bane? </w:t>
      </w:r>
      <w:r w:rsidRPr="00E905FC">
        <w:rPr>
          <w:rFonts w:eastAsia="Times New Roman" w:cs="Times New Roman"/>
          <w:i/>
          <w:iCs/>
          <w:color w:val="000000"/>
          <w:szCs w:val="24"/>
        </w:rPr>
        <w:t>The Journal of Development Studies</w:t>
      </w:r>
      <w:r w:rsidRPr="00E905FC">
        <w:rPr>
          <w:rFonts w:eastAsia="Times New Roman" w:cs="Times New Roman"/>
          <w:color w:val="000000"/>
          <w:szCs w:val="24"/>
        </w:rPr>
        <w:t>, </w:t>
      </w:r>
      <w:r w:rsidRPr="00E905FC">
        <w:rPr>
          <w:rFonts w:eastAsia="Times New Roman" w:cs="Times New Roman"/>
          <w:i/>
          <w:iCs/>
          <w:color w:val="000000"/>
          <w:szCs w:val="24"/>
        </w:rPr>
        <w:t>49</w:t>
      </w:r>
      <w:r w:rsidRPr="00E905FC">
        <w:rPr>
          <w:rFonts w:eastAsia="Times New Roman" w:cs="Times New Roman"/>
          <w:color w:val="000000"/>
          <w:szCs w:val="24"/>
        </w:rPr>
        <w:t>(10), 1316–1331. https://doi.org/10.1080/00220388.2013.812196</w:t>
      </w:r>
    </w:p>
    <w:p w14:paraId="497F457B"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lastRenderedPageBreak/>
        <w:t>Seidu, A., &amp; Onel, G. (2015). </w:t>
      </w:r>
      <w:r w:rsidRPr="00E905FC">
        <w:rPr>
          <w:rFonts w:eastAsia="Times New Roman" w:cs="Times New Roman"/>
          <w:i/>
          <w:iCs/>
          <w:color w:val="000000"/>
          <w:szCs w:val="24"/>
        </w:rPr>
        <w:t>International Migration, Remittance Income, and Income Diversification Strategies among Rural Farm Households in Transitional Albania</w:t>
      </w:r>
      <w:r w:rsidRPr="00E905FC">
        <w:rPr>
          <w:rFonts w:eastAsia="Times New Roman" w:cs="Times New Roman"/>
          <w:color w:val="000000"/>
          <w:szCs w:val="24"/>
        </w:rPr>
        <w:t>.</w:t>
      </w:r>
    </w:p>
    <w:p w14:paraId="32995733"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Shakya, P., &amp; </w:t>
      </w:r>
      <w:proofErr w:type="spellStart"/>
      <w:r w:rsidRPr="00E905FC">
        <w:rPr>
          <w:rFonts w:eastAsia="Times New Roman" w:cs="Times New Roman"/>
          <w:color w:val="000000"/>
          <w:szCs w:val="24"/>
        </w:rPr>
        <w:t>Gonpu</w:t>
      </w:r>
      <w:proofErr w:type="spellEnd"/>
      <w:r w:rsidRPr="00E905FC">
        <w:rPr>
          <w:rFonts w:eastAsia="Times New Roman" w:cs="Times New Roman"/>
          <w:color w:val="000000"/>
          <w:szCs w:val="24"/>
        </w:rPr>
        <w:t>, G. P. (2021). Impact of remittances on economic growth in Nepal. </w:t>
      </w:r>
      <w:r w:rsidRPr="00E905FC">
        <w:rPr>
          <w:rFonts w:eastAsia="Times New Roman" w:cs="Times New Roman"/>
          <w:i/>
          <w:iCs/>
          <w:color w:val="000000"/>
          <w:szCs w:val="24"/>
        </w:rPr>
        <w:t>Nepal Public Policy Review</w:t>
      </w:r>
      <w:r w:rsidRPr="00E905FC">
        <w:rPr>
          <w:rFonts w:eastAsia="Times New Roman" w:cs="Times New Roman"/>
          <w:color w:val="000000"/>
          <w:szCs w:val="24"/>
        </w:rPr>
        <w:t>, 31–47. https://doi.org/10.3126/nppr.v1i1.43419</w:t>
      </w:r>
    </w:p>
    <w:p w14:paraId="3FB31F5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Sharma, B. (2019). </w:t>
      </w:r>
      <w:r w:rsidRPr="00E905FC">
        <w:rPr>
          <w:rFonts w:eastAsia="Times New Roman" w:cs="Times New Roman"/>
          <w:i/>
          <w:iCs/>
          <w:color w:val="000000"/>
          <w:szCs w:val="24"/>
        </w:rPr>
        <w:t>Remittances and capacity building issues in Nepal. Capacity building in developing and emerging countries: From mindset transformation to promoting entrepreneurship and diaspora involvement</w:t>
      </w:r>
      <w:r w:rsidRPr="00E905FC">
        <w:rPr>
          <w:rFonts w:eastAsia="Times New Roman" w:cs="Times New Roman"/>
          <w:color w:val="000000"/>
          <w:szCs w:val="24"/>
        </w:rPr>
        <w:t>. 243–263.</w:t>
      </w:r>
    </w:p>
    <w:p w14:paraId="55C6F279"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Siddiqui, T. (2004). </w:t>
      </w:r>
      <w:r w:rsidRPr="00E905FC">
        <w:rPr>
          <w:rFonts w:eastAsia="Times New Roman" w:cs="Times New Roman"/>
          <w:i/>
          <w:iCs/>
          <w:color w:val="000000"/>
          <w:szCs w:val="24"/>
        </w:rPr>
        <w:t>Efficiency of migrant workers’ remittance: the Bangladesh case</w:t>
      </w:r>
      <w:r w:rsidRPr="00E905FC">
        <w:rPr>
          <w:rFonts w:eastAsia="Times New Roman" w:cs="Times New Roman"/>
          <w:color w:val="000000"/>
          <w:szCs w:val="24"/>
        </w:rPr>
        <w:t>. Asian Development Bank.</w:t>
      </w:r>
    </w:p>
    <w:p w14:paraId="4C50F4EE"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Sikder, M. J. U., &amp; Higgins, V. (2022). Remittances and social resilience of migrant households in rural Bangladesh. In </w:t>
      </w:r>
      <w:r w:rsidRPr="00E905FC">
        <w:rPr>
          <w:rFonts w:eastAsia="Times New Roman" w:cs="Times New Roman"/>
          <w:i/>
          <w:iCs/>
          <w:color w:val="000000"/>
          <w:szCs w:val="24"/>
        </w:rPr>
        <w:t>Migrant Workers in Singapore</w:t>
      </w:r>
      <w:r w:rsidRPr="00E905FC">
        <w:rPr>
          <w:rFonts w:eastAsia="Times New Roman" w:cs="Times New Roman"/>
          <w:color w:val="000000"/>
          <w:szCs w:val="24"/>
        </w:rPr>
        <w:t> (pp. 347–383). WORLD SCIENTIFIC.</w:t>
      </w:r>
    </w:p>
    <w:p w14:paraId="58D13AA8"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Thapa, S., &amp; Acharya, S. (2017). Remittances and household expenditure in Nepal: Evidence from cross-section data. </w:t>
      </w:r>
      <w:r w:rsidRPr="00E905FC">
        <w:rPr>
          <w:rFonts w:eastAsia="Times New Roman" w:cs="Times New Roman"/>
          <w:i/>
          <w:iCs/>
          <w:color w:val="000000"/>
          <w:szCs w:val="24"/>
        </w:rPr>
        <w:t>Economies</w:t>
      </w:r>
      <w:r w:rsidRPr="00E905FC">
        <w:rPr>
          <w:rFonts w:eastAsia="Times New Roman" w:cs="Times New Roman"/>
          <w:color w:val="000000"/>
          <w:szCs w:val="24"/>
        </w:rPr>
        <w:t>, </w:t>
      </w:r>
      <w:r w:rsidRPr="00E905FC">
        <w:rPr>
          <w:rFonts w:eastAsia="Times New Roman" w:cs="Times New Roman"/>
          <w:i/>
          <w:iCs/>
          <w:color w:val="000000"/>
          <w:szCs w:val="24"/>
        </w:rPr>
        <w:t>5</w:t>
      </w:r>
      <w:r w:rsidRPr="00E905FC">
        <w:rPr>
          <w:rFonts w:eastAsia="Times New Roman" w:cs="Times New Roman"/>
          <w:color w:val="000000"/>
          <w:szCs w:val="24"/>
        </w:rPr>
        <w:t>(2), 16. https://doi.org/10.3390/economies5020016</w:t>
      </w:r>
    </w:p>
    <w:p w14:paraId="6DC423F5"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Thapaliya, K. P., </w:t>
      </w:r>
      <w:proofErr w:type="spellStart"/>
      <w:r w:rsidRPr="00E905FC">
        <w:rPr>
          <w:rFonts w:eastAsia="Times New Roman" w:cs="Times New Roman"/>
          <w:color w:val="000000"/>
          <w:szCs w:val="24"/>
        </w:rPr>
        <w:t>Pyakuryal</w:t>
      </w:r>
      <w:proofErr w:type="spellEnd"/>
      <w:r w:rsidRPr="00E905FC">
        <w:rPr>
          <w:rFonts w:eastAsia="Times New Roman" w:cs="Times New Roman"/>
          <w:color w:val="000000"/>
          <w:szCs w:val="24"/>
        </w:rPr>
        <w:t>, K. N., Devkota, D., Panta, D., &amp; Ghimire, A. (2023). Migration, Remittance and Its Consequences at the Household Level in Agrarian Nepal. </w:t>
      </w:r>
      <w:r w:rsidRPr="00E905FC">
        <w:rPr>
          <w:rFonts w:eastAsia="Times New Roman" w:cs="Times New Roman"/>
          <w:i/>
          <w:iCs/>
          <w:color w:val="000000"/>
          <w:szCs w:val="24"/>
        </w:rPr>
        <w:t>International Journal of Agricultural Extension and Rural Development Studies</w:t>
      </w:r>
      <w:r w:rsidRPr="00E905FC">
        <w:rPr>
          <w:rFonts w:eastAsia="Times New Roman" w:cs="Times New Roman"/>
          <w:color w:val="000000"/>
          <w:szCs w:val="24"/>
        </w:rPr>
        <w:t>, </w:t>
      </w:r>
      <w:r w:rsidRPr="00E905FC">
        <w:rPr>
          <w:rFonts w:eastAsia="Times New Roman" w:cs="Times New Roman"/>
          <w:i/>
          <w:iCs/>
          <w:color w:val="000000"/>
          <w:szCs w:val="24"/>
        </w:rPr>
        <w:t>10</w:t>
      </w:r>
      <w:r w:rsidRPr="00E905FC">
        <w:rPr>
          <w:rFonts w:eastAsia="Times New Roman" w:cs="Times New Roman"/>
          <w:color w:val="000000"/>
          <w:szCs w:val="24"/>
        </w:rPr>
        <w:t>(2), 30–46.</w:t>
      </w:r>
    </w:p>
    <w:p w14:paraId="18A4618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Upadhyay, P. (2022). Remittances and development: Mirage of prosperity in Dalit community of Kaski district. </w:t>
      </w:r>
      <w:r w:rsidRPr="00E905FC">
        <w:rPr>
          <w:rFonts w:eastAsia="Times New Roman" w:cs="Times New Roman"/>
          <w:i/>
          <w:iCs/>
          <w:color w:val="000000"/>
          <w:szCs w:val="24"/>
        </w:rPr>
        <w:t>Asian Journal of Population Sciences</w:t>
      </w:r>
      <w:r w:rsidRPr="00E905FC">
        <w:rPr>
          <w:rFonts w:eastAsia="Times New Roman" w:cs="Times New Roman"/>
          <w:color w:val="000000"/>
          <w:szCs w:val="24"/>
        </w:rPr>
        <w:t>, 1–10. https://doi.org/10.3126/ajps.v1i1.43588</w:t>
      </w:r>
    </w:p>
    <w:p w14:paraId="753EEEEE"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Vargas-Silva, C., Jha, S., &amp; </w:t>
      </w:r>
      <w:proofErr w:type="spellStart"/>
      <w:r w:rsidRPr="00E905FC">
        <w:rPr>
          <w:rFonts w:eastAsia="Times New Roman" w:cs="Times New Roman"/>
          <w:color w:val="000000"/>
          <w:szCs w:val="24"/>
        </w:rPr>
        <w:t>Sugiyarto</w:t>
      </w:r>
      <w:proofErr w:type="spellEnd"/>
      <w:r w:rsidRPr="00E905FC">
        <w:rPr>
          <w:rFonts w:eastAsia="Times New Roman" w:cs="Times New Roman"/>
          <w:color w:val="000000"/>
          <w:szCs w:val="24"/>
        </w:rPr>
        <w:t>, G. (2009). Remittances in Asia: Implications for the fight against poverty and the pursuit of economic growth. </w:t>
      </w:r>
      <w:r w:rsidRPr="00E905FC">
        <w:rPr>
          <w:rFonts w:eastAsia="Times New Roman" w:cs="Times New Roman"/>
          <w:i/>
          <w:iCs/>
          <w:color w:val="000000"/>
          <w:szCs w:val="24"/>
        </w:rPr>
        <w:t>SSRN Electronic Journal</w:t>
      </w:r>
      <w:r w:rsidRPr="00E905FC">
        <w:rPr>
          <w:rFonts w:eastAsia="Times New Roman" w:cs="Times New Roman"/>
          <w:color w:val="000000"/>
          <w:szCs w:val="24"/>
        </w:rPr>
        <w:t>. https://doi.org/10.2139/ssrn.1618025</w:t>
      </w:r>
    </w:p>
    <w:p w14:paraId="0A610DB6"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lastRenderedPageBreak/>
        <w:t>Wagle, U. R., &amp; Devkota, S. (2018). The impact of foreign remittances on poverty in Nepal: A panel study of household survey data, 1996–2011. </w:t>
      </w:r>
      <w:r w:rsidRPr="00E905FC">
        <w:rPr>
          <w:rFonts w:eastAsia="Times New Roman" w:cs="Times New Roman"/>
          <w:i/>
          <w:iCs/>
          <w:color w:val="000000"/>
          <w:szCs w:val="24"/>
        </w:rPr>
        <w:t>World Development</w:t>
      </w:r>
      <w:r w:rsidRPr="00E905FC">
        <w:rPr>
          <w:rFonts w:eastAsia="Times New Roman" w:cs="Times New Roman"/>
          <w:color w:val="000000"/>
          <w:szCs w:val="24"/>
        </w:rPr>
        <w:t>, </w:t>
      </w:r>
      <w:r w:rsidRPr="00E905FC">
        <w:rPr>
          <w:rFonts w:eastAsia="Times New Roman" w:cs="Times New Roman"/>
          <w:i/>
          <w:iCs/>
          <w:color w:val="000000"/>
          <w:szCs w:val="24"/>
        </w:rPr>
        <w:t>110</w:t>
      </w:r>
      <w:r w:rsidRPr="00E905FC">
        <w:rPr>
          <w:rFonts w:eastAsia="Times New Roman" w:cs="Times New Roman"/>
          <w:color w:val="000000"/>
          <w:szCs w:val="24"/>
        </w:rPr>
        <w:t>, 38–50. https://doi.org/10.1016/j.worlddev.2018.05.019</w:t>
      </w:r>
    </w:p>
    <w:p w14:paraId="4857AC4C"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 xml:space="preserve">Yeboah, T., Boamah, E. F., &amp; </w:t>
      </w:r>
      <w:proofErr w:type="spellStart"/>
      <w:r w:rsidRPr="00E905FC">
        <w:rPr>
          <w:rFonts w:eastAsia="Times New Roman" w:cs="Times New Roman"/>
          <w:color w:val="000000"/>
          <w:szCs w:val="24"/>
        </w:rPr>
        <w:t>Appai</w:t>
      </w:r>
      <w:proofErr w:type="spellEnd"/>
      <w:r w:rsidRPr="00E905FC">
        <w:rPr>
          <w:rFonts w:eastAsia="Times New Roman" w:cs="Times New Roman"/>
          <w:color w:val="000000"/>
          <w:szCs w:val="24"/>
        </w:rPr>
        <w:t>, T. P. (2021). Broadening the remittance debate: Reverse flows, reciprocity and social relations between UK-based Ghanaian migrants and families back home. </w:t>
      </w:r>
      <w:r w:rsidRPr="00E905FC">
        <w:rPr>
          <w:rFonts w:eastAsia="Times New Roman" w:cs="Times New Roman"/>
          <w:i/>
          <w:iCs/>
          <w:color w:val="000000"/>
          <w:szCs w:val="24"/>
        </w:rPr>
        <w:t>Journal of International Migration and Integration</w:t>
      </w:r>
      <w:r w:rsidRPr="00E905FC">
        <w:rPr>
          <w:rFonts w:eastAsia="Times New Roman" w:cs="Times New Roman"/>
          <w:color w:val="000000"/>
          <w:szCs w:val="24"/>
        </w:rPr>
        <w:t>, </w:t>
      </w:r>
      <w:r w:rsidRPr="00E905FC">
        <w:rPr>
          <w:rFonts w:eastAsia="Times New Roman" w:cs="Times New Roman"/>
          <w:i/>
          <w:iCs/>
          <w:color w:val="000000"/>
          <w:szCs w:val="24"/>
        </w:rPr>
        <w:t>22</w:t>
      </w:r>
      <w:r w:rsidRPr="00E905FC">
        <w:rPr>
          <w:rFonts w:eastAsia="Times New Roman" w:cs="Times New Roman"/>
          <w:color w:val="000000"/>
          <w:szCs w:val="24"/>
        </w:rPr>
        <w:t>(1), 47–68. https://doi.org/10.1007/s12134-019-00713-9</w:t>
      </w:r>
    </w:p>
    <w:p w14:paraId="6679CDC0"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Zewdu, G. A. (2014). </w:t>
      </w:r>
      <w:r w:rsidRPr="00E905FC">
        <w:rPr>
          <w:rFonts w:eastAsia="Times New Roman" w:cs="Times New Roman"/>
          <w:i/>
          <w:iCs/>
          <w:color w:val="000000"/>
          <w:szCs w:val="24"/>
        </w:rPr>
        <w:t>The impact of migration and remittances on home communities in Ethiopia</w:t>
      </w:r>
      <w:r w:rsidRPr="00E905FC">
        <w:rPr>
          <w:rFonts w:eastAsia="Times New Roman" w:cs="Times New Roman"/>
          <w:color w:val="000000"/>
          <w:szCs w:val="24"/>
        </w:rPr>
        <w:t>.</w:t>
      </w:r>
    </w:p>
    <w:p w14:paraId="69D73F66"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proofErr w:type="spellStart"/>
      <w:r w:rsidRPr="00E905FC">
        <w:rPr>
          <w:rFonts w:eastAsia="Times New Roman" w:cs="Times New Roman"/>
          <w:color w:val="000000"/>
          <w:szCs w:val="24"/>
        </w:rPr>
        <w:t>Zharkevich</w:t>
      </w:r>
      <w:proofErr w:type="spellEnd"/>
      <w:r w:rsidRPr="00E905FC">
        <w:rPr>
          <w:rFonts w:eastAsia="Times New Roman" w:cs="Times New Roman"/>
          <w:color w:val="000000"/>
          <w:szCs w:val="24"/>
        </w:rPr>
        <w:t>, I. (2019). Money and blood: Remittances as a substance of relatedness in transnational families in Nepal. </w:t>
      </w:r>
      <w:r w:rsidRPr="00E905FC">
        <w:rPr>
          <w:rFonts w:eastAsia="Times New Roman" w:cs="Times New Roman"/>
          <w:i/>
          <w:iCs/>
          <w:color w:val="000000"/>
          <w:szCs w:val="24"/>
        </w:rPr>
        <w:t>American Anthropologist</w:t>
      </w:r>
      <w:r w:rsidRPr="00E905FC">
        <w:rPr>
          <w:rFonts w:eastAsia="Times New Roman" w:cs="Times New Roman"/>
          <w:color w:val="000000"/>
          <w:szCs w:val="24"/>
        </w:rPr>
        <w:t>, </w:t>
      </w:r>
      <w:r w:rsidRPr="00E905FC">
        <w:rPr>
          <w:rFonts w:eastAsia="Times New Roman" w:cs="Times New Roman"/>
          <w:i/>
          <w:iCs/>
          <w:color w:val="000000"/>
          <w:szCs w:val="24"/>
        </w:rPr>
        <w:t>121</w:t>
      </w:r>
      <w:r w:rsidRPr="00E905FC">
        <w:rPr>
          <w:rFonts w:eastAsia="Times New Roman" w:cs="Times New Roman"/>
          <w:color w:val="000000"/>
          <w:szCs w:val="24"/>
        </w:rPr>
        <w:t>(4), 884–896. https://doi.org/10.1111/aman.13316</w:t>
      </w:r>
    </w:p>
    <w:p w14:paraId="01A8278A" w14:textId="77777777" w:rsidR="00E905FC" w:rsidRPr="00E905FC" w:rsidRDefault="00E905FC" w:rsidP="007B1BDB">
      <w:pPr>
        <w:spacing w:before="100" w:beforeAutospacing="1" w:after="0" w:line="360" w:lineRule="auto"/>
        <w:ind w:left="720" w:hanging="720"/>
        <w:jc w:val="left"/>
        <w:rPr>
          <w:rFonts w:eastAsia="Times New Roman" w:cs="Times New Roman"/>
          <w:color w:val="000000"/>
          <w:szCs w:val="24"/>
        </w:rPr>
      </w:pPr>
      <w:r w:rsidRPr="00E905FC">
        <w:rPr>
          <w:rFonts w:eastAsia="Times New Roman" w:cs="Times New Roman"/>
          <w:color w:val="000000"/>
          <w:szCs w:val="24"/>
        </w:rPr>
        <w:t>Zhou, Y., Guo, Y., &amp; Liu, Y. (2020). Health, income and poverty: evidence from China’s rural household survey. </w:t>
      </w:r>
      <w:r w:rsidRPr="00E905FC">
        <w:rPr>
          <w:rFonts w:eastAsia="Times New Roman" w:cs="Times New Roman"/>
          <w:i/>
          <w:iCs/>
          <w:color w:val="000000"/>
          <w:szCs w:val="24"/>
        </w:rPr>
        <w:t>International Journal for Equity in Health</w:t>
      </w:r>
      <w:r w:rsidRPr="00E905FC">
        <w:rPr>
          <w:rFonts w:eastAsia="Times New Roman" w:cs="Times New Roman"/>
          <w:color w:val="000000"/>
          <w:szCs w:val="24"/>
        </w:rPr>
        <w:t>, </w:t>
      </w:r>
      <w:r w:rsidRPr="00E905FC">
        <w:rPr>
          <w:rFonts w:eastAsia="Times New Roman" w:cs="Times New Roman"/>
          <w:i/>
          <w:iCs/>
          <w:color w:val="000000"/>
          <w:szCs w:val="24"/>
        </w:rPr>
        <w:t>19</w:t>
      </w:r>
      <w:r w:rsidRPr="00E905FC">
        <w:rPr>
          <w:rFonts w:eastAsia="Times New Roman" w:cs="Times New Roman"/>
          <w:color w:val="000000"/>
          <w:szCs w:val="24"/>
        </w:rPr>
        <w:t>(1), 36. https://doi.org/10.1186/s12939-020-1121-0</w:t>
      </w:r>
    </w:p>
    <w:p w14:paraId="2FB4B5E2" w14:textId="77777777" w:rsidR="00E905FC" w:rsidRDefault="00E905FC" w:rsidP="007B1BDB">
      <w:pPr>
        <w:pStyle w:val="NormalWeb"/>
        <w:spacing w:line="360" w:lineRule="auto"/>
        <w:jc w:val="both"/>
      </w:pPr>
    </w:p>
    <w:sectPr w:rsidR="00E905FC" w:rsidSect="00531D92">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7D68B" w14:textId="77777777" w:rsidR="00282DF2" w:rsidRDefault="00282DF2" w:rsidP="00531D92">
      <w:pPr>
        <w:spacing w:after="0" w:line="240" w:lineRule="auto"/>
      </w:pPr>
      <w:r>
        <w:separator/>
      </w:r>
    </w:p>
  </w:endnote>
  <w:endnote w:type="continuationSeparator" w:id="0">
    <w:p w14:paraId="435E7AB0" w14:textId="77777777" w:rsidR="00282DF2" w:rsidRDefault="00282DF2" w:rsidP="00531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C5293" w14:textId="77777777" w:rsidR="00282DF2" w:rsidRDefault="00282DF2" w:rsidP="00531D92">
      <w:pPr>
        <w:spacing w:after="0" w:line="240" w:lineRule="auto"/>
      </w:pPr>
      <w:r>
        <w:separator/>
      </w:r>
    </w:p>
  </w:footnote>
  <w:footnote w:type="continuationSeparator" w:id="0">
    <w:p w14:paraId="76B6AF4B" w14:textId="77777777" w:rsidR="00282DF2" w:rsidRDefault="00282DF2" w:rsidP="00531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0885991"/>
      <w:docPartObj>
        <w:docPartGallery w:val="Page Numbers (Top of Page)"/>
        <w:docPartUnique/>
      </w:docPartObj>
    </w:sdtPr>
    <w:sdtEndPr>
      <w:rPr>
        <w:noProof/>
      </w:rPr>
    </w:sdtEndPr>
    <w:sdtContent>
      <w:p w14:paraId="10A8D608" w14:textId="67638C89" w:rsidR="00C239CC" w:rsidRDefault="00C239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14A62A" w14:textId="77777777" w:rsidR="00C239CC" w:rsidRDefault="00C23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C2B47"/>
    <w:multiLevelType w:val="multilevel"/>
    <w:tmpl w:val="1188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664AA"/>
    <w:multiLevelType w:val="multilevel"/>
    <w:tmpl w:val="240C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27D65"/>
    <w:multiLevelType w:val="hybridMultilevel"/>
    <w:tmpl w:val="A8A4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70D2F"/>
    <w:multiLevelType w:val="hybridMultilevel"/>
    <w:tmpl w:val="F8D6B47E"/>
    <w:lvl w:ilvl="0" w:tplc="BCACBB5C">
      <w:start w:val="1"/>
      <w:numFmt w:val="bullet"/>
      <w:lvlText w:val="•"/>
      <w:lvlJc w:val="left"/>
      <w:pPr>
        <w:tabs>
          <w:tab w:val="num" w:pos="720"/>
        </w:tabs>
        <w:ind w:left="720" w:hanging="360"/>
      </w:pPr>
      <w:rPr>
        <w:rFonts w:ascii="Arial" w:hAnsi="Arial" w:hint="default"/>
      </w:rPr>
    </w:lvl>
    <w:lvl w:ilvl="1" w:tplc="6B3E9FAE">
      <w:start w:val="1"/>
      <w:numFmt w:val="bullet"/>
      <w:lvlText w:val="•"/>
      <w:lvlJc w:val="left"/>
      <w:pPr>
        <w:tabs>
          <w:tab w:val="num" w:pos="1440"/>
        </w:tabs>
        <w:ind w:left="1440" w:hanging="360"/>
      </w:pPr>
      <w:rPr>
        <w:rFonts w:ascii="Arial" w:hAnsi="Arial" w:hint="default"/>
      </w:rPr>
    </w:lvl>
    <w:lvl w:ilvl="2" w:tplc="633425D6" w:tentative="1">
      <w:start w:val="1"/>
      <w:numFmt w:val="bullet"/>
      <w:lvlText w:val="•"/>
      <w:lvlJc w:val="left"/>
      <w:pPr>
        <w:tabs>
          <w:tab w:val="num" w:pos="2160"/>
        </w:tabs>
        <w:ind w:left="2160" w:hanging="360"/>
      </w:pPr>
      <w:rPr>
        <w:rFonts w:ascii="Arial" w:hAnsi="Arial" w:hint="default"/>
      </w:rPr>
    </w:lvl>
    <w:lvl w:ilvl="3" w:tplc="E3EC87BE" w:tentative="1">
      <w:start w:val="1"/>
      <w:numFmt w:val="bullet"/>
      <w:lvlText w:val="•"/>
      <w:lvlJc w:val="left"/>
      <w:pPr>
        <w:tabs>
          <w:tab w:val="num" w:pos="2880"/>
        </w:tabs>
        <w:ind w:left="2880" w:hanging="360"/>
      </w:pPr>
      <w:rPr>
        <w:rFonts w:ascii="Arial" w:hAnsi="Arial" w:hint="default"/>
      </w:rPr>
    </w:lvl>
    <w:lvl w:ilvl="4" w:tplc="004E1BD4" w:tentative="1">
      <w:start w:val="1"/>
      <w:numFmt w:val="bullet"/>
      <w:lvlText w:val="•"/>
      <w:lvlJc w:val="left"/>
      <w:pPr>
        <w:tabs>
          <w:tab w:val="num" w:pos="3600"/>
        </w:tabs>
        <w:ind w:left="3600" w:hanging="360"/>
      </w:pPr>
      <w:rPr>
        <w:rFonts w:ascii="Arial" w:hAnsi="Arial" w:hint="default"/>
      </w:rPr>
    </w:lvl>
    <w:lvl w:ilvl="5" w:tplc="072C78B8" w:tentative="1">
      <w:start w:val="1"/>
      <w:numFmt w:val="bullet"/>
      <w:lvlText w:val="•"/>
      <w:lvlJc w:val="left"/>
      <w:pPr>
        <w:tabs>
          <w:tab w:val="num" w:pos="4320"/>
        </w:tabs>
        <w:ind w:left="4320" w:hanging="360"/>
      </w:pPr>
      <w:rPr>
        <w:rFonts w:ascii="Arial" w:hAnsi="Arial" w:hint="default"/>
      </w:rPr>
    </w:lvl>
    <w:lvl w:ilvl="6" w:tplc="B1CC59E4" w:tentative="1">
      <w:start w:val="1"/>
      <w:numFmt w:val="bullet"/>
      <w:lvlText w:val="•"/>
      <w:lvlJc w:val="left"/>
      <w:pPr>
        <w:tabs>
          <w:tab w:val="num" w:pos="5040"/>
        </w:tabs>
        <w:ind w:left="5040" w:hanging="360"/>
      </w:pPr>
      <w:rPr>
        <w:rFonts w:ascii="Arial" w:hAnsi="Arial" w:hint="default"/>
      </w:rPr>
    </w:lvl>
    <w:lvl w:ilvl="7" w:tplc="D48207CE" w:tentative="1">
      <w:start w:val="1"/>
      <w:numFmt w:val="bullet"/>
      <w:lvlText w:val="•"/>
      <w:lvlJc w:val="left"/>
      <w:pPr>
        <w:tabs>
          <w:tab w:val="num" w:pos="5760"/>
        </w:tabs>
        <w:ind w:left="5760" w:hanging="360"/>
      </w:pPr>
      <w:rPr>
        <w:rFonts w:ascii="Arial" w:hAnsi="Arial" w:hint="default"/>
      </w:rPr>
    </w:lvl>
    <w:lvl w:ilvl="8" w:tplc="D68AFC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8012D00"/>
    <w:multiLevelType w:val="multilevel"/>
    <w:tmpl w:val="0C6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770144">
    <w:abstractNumId w:val="0"/>
  </w:num>
  <w:num w:numId="2" w16cid:durableId="1019543583">
    <w:abstractNumId w:val="1"/>
  </w:num>
  <w:num w:numId="3" w16cid:durableId="341512561">
    <w:abstractNumId w:val="3"/>
  </w:num>
  <w:num w:numId="4" w16cid:durableId="1367020972">
    <w:abstractNumId w:val="4"/>
  </w:num>
  <w:num w:numId="5" w16cid:durableId="1896119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BE"/>
    <w:rsid w:val="000019C4"/>
    <w:rsid w:val="00004D82"/>
    <w:rsid w:val="00014433"/>
    <w:rsid w:val="000437A8"/>
    <w:rsid w:val="0006750F"/>
    <w:rsid w:val="00072603"/>
    <w:rsid w:val="0007681F"/>
    <w:rsid w:val="00093A6E"/>
    <w:rsid w:val="00132747"/>
    <w:rsid w:val="0014005F"/>
    <w:rsid w:val="0016262D"/>
    <w:rsid w:val="00174C4E"/>
    <w:rsid w:val="001812B9"/>
    <w:rsid w:val="001A61D9"/>
    <w:rsid w:val="001C113C"/>
    <w:rsid w:val="001C286F"/>
    <w:rsid w:val="001E6EFC"/>
    <w:rsid w:val="001F3224"/>
    <w:rsid w:val="00261D77"/>
    <w:rsid w:val="00282DF2"/>
    <w:rsid w:val="00283E6C"/>
    <w:rsid w:val="002D0D4E"/>
    <w:rsid w:val="002E06C7"/>
    <w:rsid w:val="00312517"/>
    <w:rsid w:val="00321475"/>
    <w:rsid w:val="00326751"/>
    <w:rsid w:val="00343903"/>
    <w:rsid w:val="003957BD"/>
    <w:rsid w:val="003E39A7"/>
    <w:rsid w:val="004270FA"/>
    <w:rsid w:val="0044116A"/>
    <w:rsid w:val="00450DB4"/>
    <w:rsid w:val="00456E3E"/>
    <w:rsid w:val="004C1D67"/>
    <w:rsid w:val="004C6A1B"/>
    <w:rsid w:val="004C7F65"/>
    <w:rsid w:val="00531D92"/>
    <w:rsid w:val="005378D9"/>
    <w:rsid w:val="00556DA8"/>
    <w:rsid w:val="00564244"/>
    <w:rsid w:val="00591AA9"/>
    <w:rsid w:val="005A3DEC"/>
    <w:rsid w:val="005B6C60"/>
    <w:rsid w:val="005C68A7"/>
    <w:rsid w:val="005E7D88"/>
    <w:rsid w:val="006E7A6C"/>
    <w:rsid w:val="0071577C"/>
    <w:rsid w:val="00721E9F"/>
    <w:rsid w:val="0074743B"/>
    <w:rsid w:val="00750B3D"/>
    <w:rsid w:val="007631DF"/>
    <w:rsid w:val="00794008"/>
    <w:rsid w:val="007B1BDB"/>
    <w:rsid w:val="007E1297"/>
    <w:rsid w:val="00823C19"/>
    <w:rsid w:val="00882D8F"/>
    <w:rsid w:val="0089185E"/>
    <w:rsid w:val="00893996"/>
    <w:rsid w:val="008B0067"/>
    <w:rsid w:val="0090406C"/>
    <w:rsid w:val="009209F5"/>
    <w:rsid w:val="00941D11"/>
    <w:rsid w:val="0094208F"/>
    <w:rsid w:val="00955740"/>
    <w:rsid w:val="009C6E5C"/>
    <w:rsid w:val="009D0640"/>
    <w:rsid w:val="009E45BE"/>
    <w:rsid w:val="00A2479D"/>
    <w:rsid w:val="00A753B7"/>
    <w:rsid w:val="00A83E8B"/>
    <w:rsid w:val="00A859E5"/>
    <w:rsid w:val="00A86193"/>
    <w:rsid w:val="00A93F52"/>
    <w:rsid w:val="00AA21E1"/>
    <w:rsid w:val="00AC29A1"/>
    <w:rsid w:val="00B0171D"/>
    <w:rsid w:val="00B11077"/>
    <w:rsid w:val="00B258E7"/>
    <w:rsid w:val="00B541BE"/>
    <w:rsid w:val="00B84EF2"/>
    <w:rsid w:val="00BA0D5B"/>
    <w:rsid w:val="00BA14EE"/>
    <w:rsid w:val="00BB1D45"/>
    <w:rsid w:val="00BB71E1"/>
    <w:rsid w:val="00BC1C67"/>
    <w:rsid w:val="00BD7206"/>
    <w:rsid w:val="00BF2090"/>
    <w:rsid w:val="00C22096"/>
    <w:rsid w:val="00C239CC"/>
    <w:rsid w:val="00CC0263"/>
    <w:rsid w:val="00CD08A3"/>
    <w:rsid w:val="00D01F42"/>
    <w:rsid w:val="00D16E6F"/>
    <w:rsid w:val="00D23FD7"/>
    <w:rsid w:val="00D2457C"/>
    <w:rsid w:val="00D50DCE"/>
    <w:rsid w:val="00D561E2"/>
    <w:rsid w:val="00D709B4"/>
    <w:rsid w:val="00DC2303"/>
    <w:rsid w:val="00DC3B5B"/>
    <w:rsid w:val="00DC7786"/>
    <w:rsid w:val="00DE3E2A"/>
    <w:rsid w:val="00DE4CA2"/>
    <w:rsid w:val="00E209FC"/>
    <w:rsid w:val="00E600CF"/>
    <w:rsid w:val="00E63F18"/>
    <w:rsid w:val="00E80A0B"/>
    <w:rsid w:val="00E905FC"/>
    <w:rsid w:val="00EA6DF5"/>
    <w:rsid w:val="00EF288D"/>
    <w:rsid w:val="00EF28A3"/>
    <w:rsid w:val="00F04617"/>
    <w:rsid w:val="00F165CE"/>
    <w:rsid w:val="00F45FEB"/>
    <w:rsid w:val="00F50444"/>
    <w:rsid w:val="00F74CE6"/>
    <w:rsid w:val="00F76C88"/>
    <w:rsid w:val="00FC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46C6"/>
  <w15:chartTrackingRefBased/>
  <w15:docId w15:val="{FF8CD910-3776-4D4C-B068-CCEF5CEE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B9"/>
    <w:pPr>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812B9"/>
    <w:pPr>
      <w:keepNext/>
      <w:keepLines/>
      <w:spacing w:before="240" w:after="0" w:line="360" w:lineRule="auto"/>
      <w:jc w:val="center"/>
      <w:outlineLvl w:val="0"/>
    </w:pPr>
    <w:rPr>
      <w:rFonts w:eastAsia="Times New Roman" w:cstheme="majorBidi"/>
      <w:b/>
      <w:color w:val="auto"/>
      <w:szCs w:val="32"/>
    </w:rPr>
  </w:style>
  <w:style w:type="paragraph" w:styleId="Heading2">
    <w:name w:val="heading 2"/>
    <w:basedOn w:val="Normal"/>
    <w:next w:val="Normal"/>
    <w:link w:val="Heading2Char"/>
    <w:autoRedefine/>
    <w:uiPriority w:val="9"/>
    <w:unhideWhenUsed/>
    <w:qFormat/>
    <w:rsid w:val="0007681F"/>
    <w:pPr>
      <w:keepNext/>
      <w:keepLines/>
      <w:spacing w:before="280" w:after="240" w:line="360" w:lineRule="auto"/>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83E8B"/>
    <w:pPr>
      <w:keepNext/>
      <w:keepLines/>
      <w:spacing w:before="160" w:after="120" w:line="360" w:lineRule="auto"/>
      <w:jc w:val="center"/>
      <w:outlineLvl w:val="2"/>
    </w:pPr>
    <w:rPr>
      <w:rFonts w:eastAsiaTheme="majorEastAsia" w:cstheme="majorBidi"/>
      <w:b/>
      <w:szCs w:val="24"/>
    </w:rPr>
  </w:style>
  <w:style w:type="paragraph" w:styleId="Heading4">
    <w:name w:val="heading 4"/>
    <w:basedOn w:val="Normal"/>
    <w:link w:val="Heading4Char"/>
    <w:uiPriority w:val="9"/>
    <w:qFormat/>
    <w:rsid w:val="00B541BE"/>
    <w:pPr>
      <w:spacing w:before="100" w:beforeAutospacing="1" w:after="100" w:afterAutospacing="1" w:line="240" w:lineRule="auto"/>
      <w:jc w:val="left"/>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81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83E8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B541BE"/>
    <w:rPr>
      <w:rFonts w:ascii="Times New Roman" w:eastAsia="Times New Roman" w:hAnsi="Times New Roman" w:cs="Times New Roman"/>
      <w:b/>
      <w:bCs/>
      <w:sz w:val="24"/>
      <w:szCs w:val="24"/>
    </w:rPr>
  </w:style>
  <w:style w:type="paragraph" w:styleId="NormalWeb">
    <w:name w:val="Normal (Web)"/>
    <w:basedOn w:val="Normal"/>
    <w:uiPriority w:val="99"/>
    <w:unhideWhenUsed/>
    <w:rsid w:val="00B541BE"/>
    <w:pPr>
      <w:spacing w:before="100" w:beforeAutospacing="1" w:after="100" w:afterAutospacing="1" w:line="240" w:lineRule="auto"/>
      <w:jc w:val="left"/>
    </w:pPr>
    <w:rPr>
      <w:rFonts w:eastAsia="Times New Roman" w:cs="Times New Roman"/>
      <w:color w:val="auto"/>
      <w:szCs w:val="24"/>
    </w:rPr>
  </w:style>
  <w:style w:type="character" w:customStyle="1" w:styleId="Heading1Char">
    <w:name w:val="Heading 1 Char"/>
    <w:basedOn w:val="DefaultParagraphFont"/>
    <w:link w:val="Heading1"/>
    <w:uiPriority w:val="9"/>
    <w:rsid w:val="001812B9"/>
    <w:rPr>
      <w:rFonts w:ascii="Times New Roman" w:eastAsia="Times New Roman" w:hAnsi="Times New Roman" w:cstheme="majorBidi"/>
      <w:b/>
      <w:sz w:val="24"/>
      <w:szCs w:val="32"/>
    </w:rPr>
  </w:style>
  <w:style w:type="character" w:styleId="Strong">
    <w:name w:val="Strong"/>
    <w:basedOn w:val="DefaultParagraphFont"/>
    <w:uiPriority w:val="22"/>
    <w:qFormat/>
    <w:rsid w:val="00312517"/>
    <w:rPr>
      <w:b/>
      <w:bCs/>
    </w:rPr>
  </w:style>
  <w:style w:type="paragraph" w:styleId="ListParagraph">
    <w:name w:val="List Paragraph"/>
    <w:basedOn w:val="Normal"/>
    <w:uiPriority w:val="34"/>
    <w:qFormat/>
    <w:rsid w:val="00D2457C"/>
    <w:pPr>
      <w:spacing w:after="0" w:line="240" w:lineRule="auto"/>
      <w:ind w:left="720"/>
      <w:contextualSpacing/>
      <w:jc w:val="left"/>
    </w:pPr>
    <w:rPr>
      <w:rFonts w:eastAsiaTheme="minorEastAsia" w:cs="Times New Roman"/>
      <w:color w:val="auto"/>
      <w:szCs w:val="24"/>
    </w:rPr>
  </w:style>
  <w:style w:type="paragraph" w:styleId="TOCHeading">
    <w:name w:val="TOC Heading"/>
    <w:basedOn w:val="Heading1"/>
    <w:next w:val="Normal"/>
    <w:uiPriority w:val="39"/>
    <w:unhideWhenUsed/>
    <w:qFormat/>
    <w:rsid w:val="00531D92"/>
    <w:pPr>
      <w:spacing w:line="259" w:lineRule="auto"/>
      <w:jc w:val="left"/>
      <w:outlineLvl w:val="9"/>
    </w:pPr>
    <w:rPr>
      <w:rFonts w:asciiTheme="majorHAnsi" w:eastAsiaTheme="majorEastAsia" w:hAnsiTheme="majorHAnsi"/>
      <w:b w:val="0"/>
      <w:color w:val="2F5496" w:themeColor="accent1" w:themeShade="BF"/>
      <w:sz w:val="32"/>
    </w:rPr>
  </w:style>
  <w:style w:type="paragraph" w:styleId="TOC1">
    <w:name w:val="toc 1"/>
    <w:basedOn w:val="Normal"/>
    <w:next w:val="Normal"/>
    <w:autoRedefine/>
    <w:uiPriority w:val="39"/>
    <w:unhideWhenUsed/>
    <w:rsid w:val="00531D92"/>
    <w:pPr>
      <w:spacing w:after="100"/>
    </w:pPr>
  </w:style>
  <w:style w:type="paragraph" w:styleId="TOC2">
    <w:name w:val="toc 2"/>
    <w:basedOn w:val="Normal"/>
    <w:next w:val="Normal"/>
    <w:autoRedefine/>
    <w:uiPriority w:val="39"/>
    <w:unhideWhenUsed/>
    <w:rsid w:val="00531D92"/>
    <w:pPr>
      <w:spacing w:after="100"/>
      <w:ind w:left="240"/>
    </w:pPr>
  </w:style>
  <w:style w:type="paragraph" w:styleId="TOC3">
    <w:name w:val="toc 3"/>
    <w:basedOn w:val="Normal"/>
    <w:next w:val="Normal"/>
    <w:autoRedefine/>
    <w:uiPriority w:val="39"/>
    <w:unhideWhenUsed/>
    <w:rsid w:val="00531D92"/>
    <w:pPr>
      <w:spacing w:after="100"/>
      <w:ind w:left="480"/>
    </w:pPr>
  </w:style>
  <w:style w:type="character" w:styleId="Hyperlink">
    <w:name w:val="Hyperlink"/>
    <w:basedOn w:val="DefaultParagraphFont"/>
    <w:uiPriority w:val="99"/>
    <w:unhideWhenUsed/>
    <w:rsid w:val="00531D92"/>
    <w:rPr>
      <w:color w:val="0563C1" w:themeColor="hyperlink"/>
      <w:u w:val="single"/>
    </w:rPr>
  </w:style>
  <w:style w:type="paragraph" w:styleId="Header">
    <w:name w:val="header"/>
    <w:basedOn w:val="Normal"/>
    <w:link w:val="HeaderChar"/>
    <w:uiPriority w:val="99"/>
    <w:unhideWhenUsed/>
    <w:rsid w:val="00531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D92"/>
    <w:rPr>
      <w:rFonts w:ascii="Times New Roman" w:hAnsi="Times New Roman"/>
      <w:color w:val="000000" w:themeColor="text1"/>
      <w:sz w:val="24"/>
    </w:rPr>
  </w:style>
  <w:style w:type="paragraph" w:styleId="Footer">
    <w:name w:val="footer"/>
    <w:basedOn w:val="Normal"/>
    <w:link w:val="FooterChar"/>
    <w:uiPriority w:val="99"/>
    <w:unhideWhenUsed/>
    <w:rsid w:val="00531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D92"/>
    <w:rPr>
      <w:rFonts w:ascii="Times New Roman" w:hAnsi="Times New Roman"/>
      <w:color w:val="000000" w:themeColor="text1"/>
      <w:sz w:val="24"/>
    </w:rPr>
  </w:style>
  <w:style w:type="character" w:customStyle="1" w:styleId="line-clamp-1">
    <w:name w:val="line-clamp-1"/>
    <w:basedOn w:val="DefaultParagraphFont"/>
    <w:rsid w:val="00181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898">
      <w:bodyDiv w:val="1"/>
      <w:marLeft w:val="0"/>
      <w:marRight w:val="0"/>
      <w:marTop w:val="0"/>
      <w:marBottom w:val="0"/>
      <w:divBdr>
        <w:top w:val="none" w:sz="0" w:space="0" w:color="auto"/>
        <w:left w:val="none" w:sz="0" w:space="0" w:color="auto"/>
        <w:bottom w:val="none" w:sz="0" w:space="0" w:color="auto"/>
        <w:right w:val="none" w:sz="0" w:space="0" w:color="auto"/>
      </w:divBdr>
    </w:div>
    <w:div w:id="188036330">
      <w:bodyDiv w:val="1"/>
      <w:marLeft w:val="0"/>
      <w:marRight w:val="0"/>
      <w:marTop w:val="0"/>
      <w:marBottom w:val="0"/>
      <w:divBdr>
        <w:top w:val="none" w:sz="0" w:space="0" w:color="auto"/>
        <w:left w:val="none" w:sz="0" w:space="0" w:color="auto"/>
        <w:bottom w:val="none" w:sz="0" w:space="0" w:color="auto"/>
        <w:right w:val="none" w:sz="0" w:space="0" w:color="auto"/>
      </w:divBdr>
    </w:div>
    <w:div w:id="242692280">
      <w:bodyDiv w:val="1"/>
      <w:marLeft w:val="0"/>
      <w:marRight w:val="0"/>
      <w:marTop w:val="0"/>
      <w:marBottom w:val="0"/>
      <w:divBdr>
        <w:top w:val="none" w:sz="0" w:space="0" w:color="auto"/>
        <w:left w:val="none" w:sz="0" w:space="0" w:color="auto"/>
        <w:bottom w:val="none" w:sz="0" w:space="0" w:color="auto"/>
        <w:right w:val="none" w:sz="0" w:space="0" w:color="auto"/>
      </w:divBdr>
    </w:div>
    <w:div w:id="335419881">
      <w:bodyDiv w:val="1"/>
      <w:marLeft w:val="0"/>
      <w:marRight w:val="0"/>
      <w:marTop w:val="0"/>
      <w:marBottom w:val="0"/>
      <w:divBdr>
        <w:top w:val="none" w:sz="0" w:space="0" w:color="auto"/>
        <w:left w:val="none" w:sz="0" w:space="0" w:color="auto"/>
        <w:bottom w:val="none" w:sz="0" w:space="0" w:color="auto"/>
        <w:right w:val="none" w:sz="0" w:space="0" w:color="auto"/>
      </w:divBdr>
    </w:div>
    <w:div w:id="537357237">
      <w:bodyDiv w:val="1"/>
      <w:marLeft w:val="0"/>
      <w:marRight w:val="0"/>
      <w:marTop w:val="0"/>
      <w:marBottom w:val="0"/>
      <w:divBdr>
        <w:top w:val="none" w:sz="0" w:space="0" w:color="auto"/>
        <w:left w:val="none" w:sz="0" w:space="0" w:color="auto"/>
        <w:bottom w:val="none" w:sz="0" w:space="0" w:color="auto"/>
        <w:right w:val="none" w:sz="0" w:space="0" w:color="auto"/>
      </w:divBdr>
    </w:div>
    <w:div w:id="585461581">
      <w:bodyDiv w:val="1"/>
      <w:marLeft w:val="0"/>
      <w:marRight w:val="0"/>
      <w:marTop w:val="0"/>
      <w:marBottom w:val="0"/>
      <w:divBdr>
        <w:top w:val="none" w:sz="0" w:space="0" w:color="auto"/>
        <w:left w:val="none" w:sz="0" w:space="0" w:color="auto"/>
        <w:bottom w:val="none" w:sz="0" w:space="0" w:color="auto"/>
        <w:right w:val="none" w:sz="0" w:space="0" w:color="auto"/>
      </w:divBdr>
    </w:div>
    <w:div w:id="604339045">
      <w:bodyDiv w:val="1"/>
      <w:marLeft w:val="0"/>
      <w:marRight w:val="0"/>
      <w:marTop w:val="0"/>
      <w:marBottom w:val="0"/>
      <w:divBdr>
        <w:top w:val="none" w:sz="0" w:space="0" w:color="auto"/>
        <w:left w:val="none" w:sz="0" w:space="0" w:color="auto"/>
        <w:bottom w:val="none" w:sz="0" w:space="0" w:color="auto"/>
        <w:right w:val="none" w:sz="0" w:space="0" w:color="auto"/>
      </w:divBdr>
    </w:div>
    <w:div w:id="718944619">
      <w:bodyDiv w:val="1"/>
      <w:marLeft w:val="0"/>
      <w:marRight w:val="0"/>
      <w:marTop w:val="0"/>
      <w:marBottom w:val="0"/>
      <w:divBdr>
        <w:top w:val="none" w:sz="0" w:space="0" w:color="auto"/>
        <w:left w:val="none" w:sz="0" w:space="0" w:color="auto"/>
        <w:bottom w:val="none" w:sz="0" w:space="0" w:color="auto"/>
        <w:right w:val="none" w:sz="0" w:space="0" w:color="auto"/>
      </w:divBdr>
    </w:div>
    <w:div w:id="725837288">
      <w:bodyDiv w:val="1"/>
      <w:marLeft w:val="0"/>
      <w:marRight w:val="0"/>
      <w:marTop w:val="0"/>
      <w:marBottom w:val="0"/>
      <w:divBdr>
        <w:top w:val="none" w:sz="0" w:space="0" w:color="auto"/>
        <w:left w:val="none" w:sz="0" w:space="0" w:color="auto"/>
        <w:bottom w:val="none" w:sz="0" w:space="0" w:color="auto"/>
        <w:right w:val="none" w:sz="0" w:space="0" w:color="auto"/>
      </w:divBdr>
      <w:divsChild>
        <w:div w:id="372970602">
          <w:marLeft w:val="0"/>
          <w:marRight w:val="0"/>
          <w:marTop w:val="0"/>
          <w:marBottom w:val="0"/>
          <w:divBdr>
            <w:top w:val="none" w:sz="0" w:space="0" w:color="auto"/>
            <w:left w:val="none" w:sz="0" w:space="0" w:color="auto"/>
            <w:bottom w:val="none" w:sz="0" w:space="0" w:color="auto"/>
            <w:right w:val="none" w:sz="0" w:space="0" w:color="auto"/>
          </w:divBdr>
          <w:divsChild>
            <w:div w:id="1419987944">
              <w:marLeft w:val="0"/>
              <w:marRight w:val="0"/>
              <w:marTop w:val="0"/>
              <w:marBottom w:val="0"/>
              <w:divBdr>
                <w:top w:val="none" w:sz="0" w:space="0" w:color="auto"/>
                <w:left w:val="none" w:sz="0" w:space="0" w:color="auto"/>
                <w:bottom w:val="none" w:sz="0" w:space="0" w:color="auto"/>
                <w:right w:val="none" w:sz="0" w:space="0" w:color="auto"/>
              </w:divBdr>
              <w:divsChild>
                <w:div w:id="999696759">
                  <w:marLeft w:val="0"/>
                  <w:marRight w:val="0"/>
                  <w:marTop w:val="0"/>
                  <w:marBottom w:val="0"/>
                  <w:divBdr>
                    <w:top w:val="none" w:sz="0" w:space="0" w:color="auto"/>
                    <w:left w:val="none" w:sz="0" w:space="0" w:color="auto"/>
                    <w:bottom w:val="none" w:sz="0" w:space="0" w:color="auto"/>
                    <w:right w:val="none" w:sz="0" w:space="0" w:color="auto"/>
                  </w:divBdr>
                  <w:divsChild>
                    <w:div w:id="7552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2965">
          <w:marLeft w:val="0"/>
          <w:marRight w:val="0"/>
          <w:marTop w:val="0"/>
          <w:marBottom w:val="0"/>
          <w:divBdr>
            <w:top w:val="none" w:sz="0" w:space="0" w:color="auto"/>
            <w:left w:val="none" w:sz="0" w:space="0" w:color="auto"/>
            <w:bottom w:val="none" w:sz="0" w:space="0" w:color="auto"/>
            <w:right w:val="none" w:sz="0" w:space="0" w:color="auto"/>
          </w:divBdr>
          <w:divsChild>
            <w:div w:id="736128395">
              <w:marLeft w:val="0"/>
              <w:marRight w:val="0"/>
              <w:marTop w:val="0"/>
              <w:marBottom w:val="0"/>
              <w:divBdr>
                <w:top w:val="none" w:sz="0" w:space="0" w:color="auto"/>
                <w:left w:val="none" w:sz="0" w:space="0" w:color="auto"/>
                <w:bottom w:val="none" w:sz="0" w:space="0" w:color="auto"/>
                <w:right w:val="none" w:sz="0" w:space="0" w:color="auto"/>
              </w:divBdr>
              <w:divsChild>
                <w:div w:id="959726778">
                  <w:marLeft w:val="0"/>
                  <w:marRight w:val="0"/>
                  <w:marTop w:val="0"/>
                  <w:marBottom w:val="0"/>
                  <w:divBdr>
                    <w:top w:val="none" w:sz="0" w:space="0" w:color="auto"/>
                    <w:left w:val="none" w:sz="0" w:space="0" w:color="auto"/>
                    <w:bottom w:val="none" w:sz="0" w:space="0" w:color="auto"/>
                    <w:right w:val="none" w:sz="0" w:space="0" w:color="auto"/>
                  </w:divBdr>
                  <w:divsChild>
                    <w:div w:id="9136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50488">
      <w:bodyDiv w:val="1"/>
      <w:marLeft w:val="0"/>
      <w:marRight w:val="0"/>
      <w:marTop w:val="0"/>
      <w:marBottom w:val="0"/>
      <w:divBdr>
        <w:top w:val="none" w:sz="0" w:space="0" w:color="auto"/>
        <w:left w:val="none" w:sz="0" w:space="0" w:color="auto"/>
        <w:bottom w:val="none" w:sz="0" w:space="0" w:color="auto"/>
        <w:right w:val="none" w:sz="0" w:space="0" w:color="auto"/>
      </w:divBdr>
    </w:div>
    <w:div w:id="847521423">
      <w:bodyDiv w:val="1"/>
      <w:marLeft w:val="0"/>
      <w:marRight w:val="0"/>
      <w:marTop w:val="0"/>
      <w:marBottom w:val="0"/>
      <w:divBdr>
        <w:top w:val="none" w:sz="0" w:space="0" w:color="auto"/>
        <w:left w:val="none" w:sz="0" w:space="0" w:color="auto"/>
        <w:bottom w:val="none" w:sz="0" w:space="0" w:color="auto"/>
        <w:right w:val="none" w:sz="0" w:space="0" w:color="auto"/>
      </w:divBdr>
      <w:divsChild>
        <w:div w:id="66539052">
          <w:marLeft w:val="0"/>
          <w:marRight w:val="0"/>
          <w:marTop w:val="0"/>
          <w:marBottom w:val="0"/>
          <w:divBdr>
            <w:top w:val="none" w:sz="0" w:space="0" w:color="auto"/>
            <w:left w:val="none" w:sz="0" w:space="0" w:color="auto"/>
            <w:bottom w:val="none" w:sz="0" w:space="0" w:color="auto"/>
            <w:right w:val="none" w:sz="0" w:space="0" w:color="auto"/>
          </w:divBdr>
          <w:divsChild>
            <w:div w:id="1143697162">
              <w:marLeft w:val="0"/>
              <w:marRight w:val="0"/>
              <w:marTop w:val="0"/>
              <w:marBottom w:val="0"/>
              <w:divBdr>
                <w:top w:val="none" w:sz="0" w:space="0" w:color="auto"/>
                <w:left w:val="none" w:sz="0" w:space="0" w:color="auto"/>
                <w:bottom w:val="none" w:sz="0" w:space="0" w:color="auto"/>
                <w:right w:val="none" w:sz="0" w:space="0" w:color="auto"/>
              </w:divBdr>
              <w:divsChild>
                <w:div w:id="278921745">
                  <w:marLeft w:val="0"/>
                  <w:marRight w:val="0"/>
                  <w:marTop w:val="0"/>
                  <w:marBottom w:val="0"/>
                  <w:divBdr>
                    <w:top w:val="none" w:sz="0" w:space="0" w:color="auto"/>
                    <w:left w:val="none" w:sz="0" w:space="0" w:color="auto"/>
                    <w:bottom w:val="none" w:sz="0" w:space="0" w:color="auto"/>
                    <w:right w:val="none" w:sz="0" w:space="0" w:color="auto"/>
                  </w:divBdr>
                  <w:divsChild>
                    <w:div w:id="6430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9677">
          <w:marLeft w:val="0"/>
          <w:marRight w:val="0"/>
          <w:marTop w:val="0"/>
          <w:marBottom w:val="0"/>
          <w:divBdr>
            <w:top w:val="none" w:sz="0" w:space="0" w:color="auto"/>
            <w:left w:val="none" w:sz="0" w:space="0" w:color="auto"/>
            <w:bottom w:val="none" w:sz="0" w:space="0" w:color="auto"/>
            <w:right w:val="none" w:sz="0" w:space="0" w:color="auto"/>
          </w:divBdr>
          <w:divsChild>
            <w:div w:id="577325038">
              <w:marLeft w:val="0"/>
              <w:marRight w:val="0"/>
              <w:marTop w:val="0"/>
              <w:marBottom w:val="0"/>
              <w:divBdr>
                <w:top w:val="none" w:sz="0" w:space="0" w:color="auto"/>
                <w:left w:val="none" w:sz="0" w:space="0" w:color="auto"/>
                <w:bottom w:val="none" w:sz="0" w:space="0" w:color="auto"/>
                <w:right w:val="none" w:sz="0" w:space="0" w:color="auto"/>
              </w:divBdr>
              <w:divsChild>
                <w:div w:id="138229217">
                  <w:marLeft w:val="0"/>
                  <w:marRight w:val="0"/>
                  <w:marTop w:val="0"/>
                  <w:marBottom w:val="0"/>
                  <w:divBdr>
                    <w:top w:val="none" w:sz="0" w:space="0" w:color="auto"/>
                    <w:left w:val="none" w:sz="0" w:space="0" w:color="auto"/>
                    <w:bottom w:val="none" w:sz="0" w:space="0" w:color="auto"/>
                    <w:right w:val="none" w:sz="0" w:space="0" w:color="auto"/>
                  </w:divBdr>
                  <w:divsChild>
                    <w:div w:id="2729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40875">
      <w:bodyDiv w:val="1"/>
      <w:marLeft w:val="0"/>
      <w:marRight w:val="0"/>
      <w:marTop w:val="0"/>
      <w:marBottom w:val="0"/>
      <w:divBdr>
        <w:top w:val="none" w:sz="0" w:space="0" w:color="auto"/>
        <w:left w:val="none" w:sz="0" w:space="0" w:color="auto"/>
        <w:bottom w:val="none" w:sz="0" w:space="0" w:color="auto"/>
        <w:right w:val="none" w:sz="0" w:space="0" w:color="auto"/>
      </w:divBdr>
    </w:div>
    <w:div w:id="1072890083">
      <w:bodyDiv w:val="1"/>
      <w:marLeft w:val="0"/>
      <w:marRight w:val="0"/>
      <w:marTop w:val="0"/>
      <w:marBottom w:val="0"/>
      <w:divBdr>
        <w:top w:val="none" w:sz="0" w:space="0" w:color="auto"/>
        <w:left w:val="none" w:sz="0" w:space="0" w:color="auto"/>
        <w:bottom w:val="none" w:sz="0" w:space="0" w:color="auto"/>
        <w:right w:val="none" w:sz="0" w:space="0" w:color="auto"/>
      </w:divBdr>
      <w:divsChild>
        <w:div w:id="1608855301">
          <w:marLeft w:val="0"/>
          <w:marRight w:val="0"/>
          <w:marTop w:val="0"/>
          <w:marBottom w:val="0"/>
          <w:divBdr>
            <w:top w:val="none" w:sz="0" w:space="0" w:color="auto"/>
            <w:left w:val="none" w:sz="0" w:space="0" w:color="auto"/>
            <w:bottom w:val="none" w:sz="0" w:space="0" w:color="auto"/>
            <w:right w:val="none" w:sz="0" w:space="0" w:color="auto"/>
          </w:divBdr>
          <w:divsChild>
            <w:div w:id="1627352307">
              <w:marLeft w:val="0"/>
              <w:marRight w:val="0"/>
              <w:marTop w:val="0"/>
              <w:marBottom w:val="0"/>
              <w:divBdr>
                <w:top w:val="none" w:sz="0" w:space="0" w:color="auto"/>
                <w:left w:val="none" w:sz="0" w:space="0" w:color="auto"/>
                <w:bottom w:val="none" w:sz="0" w:space="0" w:color="auto"/>
                <w:right w:val="none" w:sz="0" w:space="0" w:color="auto"/>
              </w:divBdr>
              <w:divsChild>
                <w:div w:id="719017575">
                  <w:marLeft w:val="0"/>
                  <w:marRight w:val="0"/>
                  <w:marTop w:val="0"/>
                  <w:marBottom w:val="0"/>
                  <w:divBdr>
                    <w:top w:val="none" w:sz="0" w:space="0" w:color="auto"/>
                    <w:left w:val="none" w:sz="0" w:space="0" w:color="auto"/>
                    <w:bottom w:val="none" w:sz="0" w:space="0" w:color="auto"/>
                    <w:right w:val="none" w:sz="0" w:space="0" w:color="auto"/>
                  </w:divBdr>
                  <w:divsChild>
                    <w:div w:id="8979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66877">
          <w:marLeft w:val="0"/>
          <w:marRight w:val="0"/>
          <w:marTop w:val="0"/>
          <w:marBottom w:val="0"/>
          <w:divBdr>
            <w:top w:val="none" w:sz="0" w:space="0" w:color="auto"/>
            <w:left w:val="none" w:sz="0" w:space="0" w:color="auto"/>
            <w:bottom w:val="none" w:sz="0" w:space="0" w:color="auto"/>
            <w:right w:val="none" w:sz="0" w:space="0" w:color="auto"/>
          </w:divBdr>
          <w:divsChild>
            <w:div w:id="1413507718">
              <w:marLeft w:val="0"/>
              <w:marRight w:val="0"/>
              <w:marTop w:val="0"/>
              <w:marBottom w:val="0"/>
              <w:divBdr>
                <w:top w:val="none" w:sz="0" w:space="0" w:color="auto"/>
                <w:left w:val="none" w:sz="0" w:space="0" w:color="auto"/>
                <w:bottom w:val="none" w:sz="0" w:space="0" w:color="auto"/>
                <w:right w:val="none" w:sz="0" w:space="0" w:color="auto"/>
              </w:divBdr>
              <w:divsChild>
                <w:div w:id="1664432254">
                  <w:marLeft w:val="0"/>
                  <w:marRight w:val="0"/>
                  <w:marTop w:val="0"/>
                  <w:marBottom w:val="0"/>
                  <w:divBdr>
                    <w:top w:val="none" w:sz="0" w:space="0" w:color="auto"/>
                    <w:left w:val="none" w:sz="0" w:space="0" w:color="auto"/>
                    <w:bottom w:val="none" w:sz="0" w:space="0" w:color="auto"/>
                    <w:right w:val="none" w:sz="0" w:space="0" w:color="auto"/>
                  </w:divBdr>
                  <w:divsChild>
                    <w:div w:id="1814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832">
      <w:bodyDiv w:val="1"/>
      <w:marLeft w:val="0"/>
      <w:marRight w:val="0"/>
      <w:marTop w:val="0"/>
      <w:marBottom w:val="0"/>
      <w:divBdr>
        <w:top w:val="none" w:sz="0" w:space="0" w:color="auto"/>
        <w:left w:val="none" w:sz="0" w:space="0" w:color="auto"/>
        <w:bottom w:val="none" w:sz="0" w:space="0" w:color="auto"/>
        <w:right w:val="none" w:sz="0" w:space="0" w:color="auto"/>
      </w:divBdr>
    </w:div>
    <w:div w:id="1216241868">
      <w:bodyDiv w:val="1"/>
      <w:marLeft w:val="0"/>
      <w:marRight w:val="0"/>
      <w:marTop w:val="0"/>
      <w:marBottom w:val="0"/>
      <w:divBdr>
        <w:top w:val="none" w:sz="0" w:space="0" w:color="auto"/>
        <w:left w:val="none" w:sz="0" w:space="0" w:color="auto"/>
        <w:bottom w:val="none" w:sz="0" w:space="0" w:color="auto"/>
        <w:right w:val="none" w:sz="0" w:space="0" w:color="auto"/>
      </w:divBdr>
      <w:divsChild>
        <w:div w:id="286282249">
          <w:marLeft w:val="0"/>
          <w:marRight w:val="0"/>
          <w:marTop w:val="0"/>
          <w:marBottom w:val="0"/>
          <w:divBdr>
            <w:top w:val="none" w:sz="0" w:space="0" w:color="auto"/>
            <w:left w:val="none" w:sz="0" w:space="0" w:color="auto"/>
            <w:bottom w:val="none" w:sz="0" w:space="0" w:color="auto"/>
            <w:right w:val="none" w:sz="0" w:space="0" w:color="auto"/>
          </w:divBdr>
          <w:divsChild>
            <w:div w:id="129635767">
              <w:marLeft w:val="0"/>
              <w:marRight w:val="0"/>
              <w:marTop w:val="0"/>
              <w:marBottom w:val="0"/>
              <w:divBdr>
                <w:top w:val="none" w:sz="0" w:space="0" w:color="auto"/>
                <w:left w:val="none" w:sz="0" w:space="0" w:color="auto"/>
                <w:bottom w:val="none" w:sz="0" w:space="0" w:color="auto"/>
                <w:right w:val="none" w:sz="0" w:space="0" w:color="auto"/>
              </w:divBdr>
              <w:divsChild>
                <w:div w:id="137501134">
                  <w:marLeft w:val="0"/>
                  <w:marRight w:val="0"/>
                  <w:marTop w:val="0"/>
                  <w:marBottom w:val="0"/>
                  <w:divBdr>
                    <w:top w:val="none" w:sz="0" w:space="0" w:color="auto"/>
                    <w:left w:val="none" w:sz="0" w:space="0" w:color="auto"/>
                    <w:bottom w:val="none" w:sz="0" w:space="0" w:color="auto"/>
                    <w:right w:val="none" w:sz="0" w:space="0" w:color="auto"/>
                  </w:divBdr>
                  <w:divsChild>
                    <w:div w:id="21262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83812">
      <w:bodyDiv w:val="1"/>
      <w:marLeft w:val="0"/>
      <w:marRight w:val="0"/>
      <w:marTop w:val="0"/>
      <w:marBottom w:val="0"/>
      <w:divBdr>
        <w:top w:val="none" w:sz="0" w:space="0" w:color="auto"/>
        <w:left w:val="none" w:sz="0" w:space="0" w:color="auto"/>
        <w:bottom w:val="none" w:sz="0" w:space="0" w:color="auto"/>
        <w:right w:val="none" w:sz="0" w:space="0" w:color="auto"/>
      </w:divBdr>
    </w:div>
    <w:div w:id="1298728185">
      <w:bodyDiv w:val="1"/>
      <w:marLeft w:val="0"/>
      <w:marRight w:val="0"/>
      <w:marTop w:val="0"/>
      <w:marBottom w:val="0"/>
      <w:divBdr>
        <w:top w:val="none" w:sz="0" w:space="0" w:color="auto"/>
        <w:left w:val="none" w:sz="0" w:space="0" w:color="auto"/>
        <w:bottom w:val="none" w:sz="0" w:space="0" w:color="auto"/>
        <w:right w:val="none" w:sz="0" w:space="0" w:color="auto"/>
      </w:divBdr>
      <w:divsChild>
        <w:div w:id="1148938690">
          <w:marLeft w:val="0"/>
          <w:marRight w:val="0"/>
          <w:marTop w:val="0"/>
          <w:marBottom w:val="0"/>
          <w:divBdr>
            <w:top w:val="none" w:sz="0" w:space="0" w:color="auto"/>
            <w:left w:val="none" w:sz="0" w:space="0" w:color="auto"/>
            <w:bottom w:val="none" w:sz="0" w:space="0" w:color="auto"/>
            <w:right w:val="none" w:sz="0" w:space="0" w:color="auto"/>
          </w:divBdr>
        </w:div>
      </w:divsChild>
    </w:div>
    <w:div w:id="1486314389">
      <w:bodyDiv w:val="1"/>
      <w:marLeft w:val="0"/>
      <w:marRight w:val="0"/>
      <w:marTop w:val="0"/>
      <w:marBottom w:val="0"/>
      <w:divBdr>
        <w:top w:val="none" w:sz="0" w:space="0" w:color="auto"/>
        <w:left w:val="none" w:sz="0" w:space="0" w:color="auto"/>
        <w:bottom w:val="none" w:sz="0" w:space="0" w:color="auto"/>
        <w:right w:val="none" w:sz="0" w:space="0" w:color="auto"/>
      </w:divBdr>
    </w:div>
    <w:div w:id="1525829133">
      <w:bodyDiv w:val="1"/>
      <w:marLeft w:val="0"/>
      <w:marRight w:val="0"/>
      <w:marTop w:val="0"/>
      <w:marBottom w:val="0"/>
      <w:divBdr>
        <w:top w:val="none" w:sz="0" w:space="0" w:color="auto"/>
        <w:left w:val="none" w:sz="0" w:space="0" w:color="auto"/>
        <w:bottom w:val="none" w:sz="0" w:space="0" w:color="auto"/>
        <w:right w:val="none" w:sz="0" w:space="0" w:color="auto"/>
      </w:divBdr>
    </w:div>
    <w:div w:id="1527137006">
      <w:bodyDiv w:val="1"/>
      <w:marLeft w:val="0"/>
      <w:marRight w:val="0"/>
      <w:marTop w:val="0"/>
      <w:marBottom w:val="0"/>
      <w:divBdr>
        <w:top w:val="none" w:sz="0" w:space="0" w:color="auto"/>
        <w:left w:val="none" w:sz="0" w:space="0" w:color="auto"/>
        <w:bottom w:val="none" w:sz="0" w:space="0" w:color="auto"/>
        <w:right w:val="none" w:sz="0" w:space="0" w:color="auto"/>
      </w:divBdr>
    </w:div>
    <w:div w:id="1630821394">
      <w:bodyDiv w:val="1"/>
      <w:marLeft w:val="0"/>
      <w:marRight w:val="0"/>
      <w:marTop w:val="0"/>
      <w:marBottom w:val="0"/>
      <w:divBdr>
        <w:top w:val="none" w:sz="0" w:space="0" w:color="auto"/>
        <w:left w:val="none" w:sz="0" w:space="0" w:color="auto"/>
        <w:bottom w:val="none" w:sz="0" w:space="0" w:color="auto"/>
        <w:right w:val="none" w:sz="0" w:space="0" w:color="auto"/>
      </w:divBdr>
    </w:div>
    <w:div w:id="1650867317">
      <w:bodyDiv w:val="1"/>
      <w:marLeft w:val="0"/>
      <w:marRight w:val="0"/>
      <w:marTop w:val="0"/>
      <w:marBottom w:val="0"/>
      <w:divBdr>
        <w:top w:val="none" w:sz="0" w:space="0" w:color="auto"/>
        <w:left w:val="none" w:sz="0" w:space="0" w:color="auto"/>
        <w:bottom w:val="none" w:sz="0" w:space="0" w:color="auto"/>
        <w:right w:val="none" w:sz="0" w:space="0" w:color="auto"/>
      </w:divBdr>
    </w:div>
    <w:div w:id="1724909151">
      <w:bodyDiv w:val="1"/>
      <w:marLeft w:val="0"/>
      <w:marRight w:val="0"/>
      <w:marTop w:val="0"/>
      <w:marBottom w:val="0"/>
      <w:divBdr>
        <w:top w:val="none" w:sz="0" w:space="0" w:color="auto"/>
        <w:left w:val="none" w:sz="0" w:space="0" w:color="auto"/>
        <w:bottom w:val="none" w:sz="0" w:space="0" w:color="auto"/>
        <w:right w:val="none" w:sz="0" w:space="0" w:color="auto"/>
      </w:divBdr>
      <w:divsChild>
        <w:div w:id="1620604764">
          <w:marLeft w:val="0"/>
          <w:marRight w:val="0"/>
          <w:marTop w:val="0"/>
          <w:marBottom w:val="0"/>
          <w:divBdr>
            <w:top w:val="none" w:sz="0" w:space="0" w:color="auto"/>
            <w:left w:val="none" w:sz="0" w:space="0" w:color="auto"/>
            <w:bottom w:val="none" w:sz="0" w:space="0" w:color="auto"/>
            <w:right w:val="none" w:sz="0" w:space="0" w:color="auto"/>
          </w:divBdr>
          <w:divsChild>
            <w:div w:id="1299992911">
              <w:marLeft w:val="0"/>
              <w:marRight w:val="0"/>
              <w:marTop w:val="0"/>
              <w:marBottom w:val="0"/>
              <w:divBdr>
                <w:top w:val="none" w:sz="0" w:space="0" w:color="auto"/>
                <w:left w:val="none" w:sz="0" w:space="0" w:color="auto"/>
                <w:bottom w:val="none" w:sz="0" w:space="0" w:color="auto"/>
                <w:right w:val="none" w:sz="0" w:space="0" w:color="auto"/>
              </w:divBdr>
              <w:divsChild>
                <w:div w:id="575360664">
                  <w:marLeft w:val="0"/>
                  <w:marRight w:val="0"/>
                  <w:marTop w:val="0"/>
                  <w:marBottom w:val="0"/>
                  <w:divBdr>
                    <w:top w:val="none" w:sz="0" w:space="0" w:color="auto"/>
                    <w:left w:val="none" w:sz="0" w:space="0" w:color="auto"/>
                    <w:bottom w:val="none" w:sz="0" w:space="0" w:color="auto"/>
                    <w:right w:val="none" w:sz="0" w:space="0" w:color="auto"/>
                  </w:divBdr>
                  <w:divsChild>
                    <w:div w:id="6685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2988">
          <w:marLeft w:val="0"/>
          <w:marRight w:val="0"/>
          <w:marTop w:val="0"/>
          <w:marBottom w:val="0"/>
          <w:divBdr>
            <w:top w:val="none" w:sz="0" w:space="0" w:color="auto"/>
            <w:left w:val="none" w:sz="0" w:space="0" w:color="auto"/>
            <w:bottom w:val="none" w:sz="0" w:space="0" w:color="auto"/>
            <w:right w:val="none" w:sz="0" w:space="0" w:color="auto"/>
          </w:divBdr>
          <w:divsChild>
            <w:div w:id="64647377">
              <w:marLeft w:val="0"/>
              <w:marRight w:val="0"/>
              <w:marTop w:val="0"/>
              <w:marBottom w:val="0"/>
              <w:divBdr>
                <w:top w:val="none" w:sz="0" w:space="0" w:color="auto"/>
                <w:left w:val="none" w:sz="0" w:space="0" w:color="auto"/>
                <w:bottom w:val="none" w:sz="0" w:space="0" w:color="auto"/>
                <w:right w:val="none" w:sz="0" w:space="0" w:color="auto"/>
              </w:divBdr>
              <w:divsChild>
                <w:div w:id="124011932">
                  <w:marLeft w:val="0"/>
                  <w:marRight w:val="0"/>
                  <w:marTop w:val="0"/>
                  <w:marBottom w:val="0"/>
                  <w:divBdr>
                    <w:top w:val="none" w:sz="0" w:space="0" w:color="auto"/>
                    <w:left w:val="none" w:sz="0" w:space="0" w:color="auto"/>
                    <w:bottom w:val="none" w:sz="0" w:space="0" w:color="auto"/>
                    <w:right w:val="none" w:sz="0" w:space="0" w:color="auto"/>
                  </w:divBdr>
                  <w:divsChild>
                    <w:div w:id="804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38696">
      <w:bodyDiv w:val="1"/>
      <w:marLeft w:val="0"/>
      <w:marRight w:val="0"/>
      <w:marTop w:val="0"/>
      <w:marBottom w:val="0"/>
      <w:divBdr>
        <w:top w:val="none" w:sz="0" w:space="0" w:color="auto"/>
        <w:left w:val="none" w:sz="0" w:space="0" w:color="auto"/>
        <w:bottom w:val="none" w:sz="0" w:space="0" w:color="auto"/>
        <w:right w:val="none" w:sz="0" w:space="0" w:color="auto"/>
      </w:divBdr>
    </w:div>
    <w:div w:id="1893274780">
      <w:bodyDiv w:val="1"/>
      <w:marLeft w:val="0"/>
      <w:marRight w:val="0"/>
      <w:marTop w:val="0"/>
      <w:marBottom w:val="0"/>
      <w:divBdr>
        <w:top w:val="none" w:sz="0" w:space="0" w:color="auto"/>
        <w:left w:val="none" w:sz="0" w:space="0" w:color="auto"/>
        <w:bottom w:val="none" w:sz="0" w:space="0" w:color="auto"/>
        <w:right w:val="none" w:sz="0" w:space="0" w:color="auto"/>
      </w:divBdr>
    </w:div>
    <w:div w:id="2102216340">
      <w:bodyDiv w:val="1"/>
      <w:marLeft w:val="0"/>
      <w:marRight w:val="0"/>
      <w:marTop w:val="0"/>
      <w:marBottom w:val="0"/>
      <w:divBdr>
        <w:top w:val="none" w:sz="0" w:space="0" w:color="auto"/>
        <w:left w:val="none" w:sz="0" w:space="0" w:color="auto"/>
        <w:bottom w:val="none" w:sz="0" w:space="0" w:color="auto"/>
        <w:right w:val="none" w:sz="0" w:space="0" w:color="auto"/>
      </w:divBdr>
    </w:div>
    <w:div w:id="2127309541">
      <w:bodyDiv w:val="1"/>
      <w:marLeft w:val="0"/>
      <w:marRight w:val="0"/>
      <w:marTop w:val="0"/>
      <w:marBottom w:val="0"/>
      <w:divBdr>
        <w:top w:val="none" w:sz="0" w:space="0" w:color="auto"/>
        <w:left w:val="none" w:sz="0" w:space="0" w:color="auto"/>
        <w:bottom w:val="none" w:sz="0" w:space="0" w:color="auto"/>
        <w:right w:val="none" w:sz="0" w:space="0" w:color="auto"/>
      </w:divBdr>
      <w:divsChild>
        <w:div w:id="847333019">
          <w:marLeft w:val="0"/>
          <w:marRight w:val="0"/>
          <w:marTop w:val="0"/>
          <w:marBottom w:val="0"/>
          <w:divBdr>
            <w:top w:val="none" w:sz="0" w:space="0" w:color="auto"/>
            <w:left w:val="none" w:sz="0" w:space="0" w:color="auto"/>
            <w:bottom w:val="none" w:sz="0" w:space="0" w:color="auto"/>
            <w:right w:val="none" w:sz="0" w:space="0" w:color="auto"/>
          </w:divBdr>
          <w:divsChild>
            <w:div w:id="1301230884">
              <w:marLeft w:val="0"/>
              <w:marRight w:val="0"/>
              <w:marTop w:val="0"/>
              <w:marBottom w:val="0"/>
              <w:divBdr>
                <w:top w:val="none" w:sz="0" w:space="0" w:color="auto"/>
                <w:left w:val="none" w:sz="0" w:space="0" w:color="auto"/>
                <w:bottom w:val="none" w:sz="0" w:space="0" w:color="auto"/>
                <w:right w:val="none" w:sz="0" w:space="0" w:color="auto"/>
              </w:divBdr>
              <w:divsChild>
                <w:div w:id="113527925">
                  <w:marLeft w:val="0"/>
                  <w:marRight w:val="0"/>
                  <w:marTop w:val="0"/>
                  <w:marBottom w:val="0"/>
                  <w:divBdr>
                    <w:top w:val="none" w:sz="0" w:space="0" w:color="auto"/>
                    <w:left w:val="none" w:sz="0" w:space="0" w:color="auto"/>
                    <w:bottom w:val="none" w:sz="0" w:space="0" w:color="auto"/>
                    <w:right w:val="none" w:sz="0" w:space="0" w:color="auto"/>
                  </w:divBdr>
                  <w:divsChild>
                    <w:div w:id="1886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285">
          <w:marLeft w:val="0"/>
          <w:marRight w:val="0"/>
          <w:marTop w:val="0"/>
          <w:marBottom w:val="0"/>
          <w:divBdr>
            <w:top w:val="none" w:sz="0" w:space="0" w:color="auto"/>
            <w:left w:val="none" w:sz="0" w:space="0" w:color="auto"/>
            <w:bottom w:val="none" w:sz="0" w:space="0" w:color="auto"/>
            <w:right w:val="none" w:sz="0" w:space="0" w:color="auto"/>
          </w:divBdr>
          <w:divsChild>
            <w:div w:id="504394570">
              <w:marLeft w:val="0"/>
              <w:marRight w:val="0"/>
              <w:marTop w:val="0"/>
              <w:marBottom w:val="0"/>
              <w:divBdr>
                <w:top w:val="none" w:sz="0" w:space="0" w:color="auto"/>
                <w:left w:val="none" w:sz="0" w:space="0" w:color="auto"/>
                <w:bottom w:val="none" w:sz="0" w:space="0" w:color="auto"/>
                <w:right w:val="none" w:sz="0" w:space="0" w:color="auto"/>
              </w:divBdr>
              <w:divsChild>
                <w:div w:id="1359312004">
                  <w:marLeft w:val="0"/>
                  <w:marRight w:val="0"/>
                  <w:marTop w:val="0"/>
                  <w:marBottom w:val="0"/>
                  <w:divBdr>
                    <w:top w:val="none" w:sz="0" w:space="0" w:color="auto"/>
                    <w:left w:val="none" w:sz="0" w:space="0" w:color="auto"/>
                    <w:bottom w:val="none" w:sz="0" w:space="0" w:color="auto"/>
                    <w:right w:val="none" w:sz="0" w:space="0" w:color="auto"/>
                  </w:divBdr>
                  <w:divsChild>
                    <w:div w:id="14380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NOVO\OneDrive%20-%20Tribhuvan%20University\Desktop\Sove%20Dai\Shove%20Dai%20Chapter%201.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C881A-1BD3-4EA0-8E31-305A4D596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60</Pages>
  <Words>13883</Words>
  <Characters>79137</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Dhakal</dc:creator>
  <cp:keywords/>
  <dc:description/>
  <cp:lastModifiedBy>Bipin Dhakal</cp:lastModifiedBy>
  <cp:revision>154</cp:revision>
  <cp:lastPrinted>2024-07-10T00:45:00Z</cp:lastPrinted>
  <dcterms:created xsi:type="dcterms:W3CDTF">2024-07-04T15:52:00Z</dcterms:created>
  <dcterms:modified xsi:type="dcterms:W3CDTF">2024-07-10T15:05:00Z</dcterms:modified>
</cp:coreProperties>
</file>