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41DF" w14:textId="77777777" w:rsidR="006757BB" w:rsidRPr="00112775" w:rsidRDefault="006757BB" w:rsidP="006757B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7C32DFC0" w14:textId="77777777" w:rsidR="006757BB" w:rsidRPr="00112775" w:rsidRDefault="006757BB" w:rsidP="006757B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BÜ-Ersatzstecker</w:t>
      </w:r>
    </w:p>
    <w:p w14:paraId="46BEBD7D" w14:textId="77777777" w:rsidR="006757BB" w:rsidRPr="00112775" w:rsidRDefault="006757BB" w:rsidP="006757BB">
      <w:pPr>
        <w:pStyle w:val="berschrift3"/>
        <w:rPr>
          <w:rFonts w:ascii="DB Neo Office" w:hAnsi="DB Neo Office"/>
          <w:b w:val="0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Einsatz von BÜ-Ersatzsteckern </w:t>
      </w:r>
      <w:r w:rsidRPr="00112775">
        <w:rPr>
          <w:rFonts w:ascii="DB Neo Office" w:hAnsi="DB Neo Office"/>
          <w:b w:val="0"/>
          <w:vanish/>
          <w:color w:val="0000FF"/>
        </w:rPr>
        <w:t>(andere Maßnahmen analog einarbeiten)</w:t>
      </w:r>
    </w:p>
    <w:p w14:paraId="05F8EEED" w14:textId="77777777" w:rsidR="006757BB" w:rsidRPr="00112775" w:rsidRDefault="006757BB" w:rsidP="006757BB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Um Zugfahrten auf Hauptsignal durchführen zu können / die Abhängigkeit zwischen den Gleisschaltmitteln und der BÜSA aufzuheben, werden </w:t>
      </w:r>
    </w:p>
    <w:p w14:paraId="39F2AD20" w14:textId="77777777" w:rsidR="006757BB" w:rsidRPr="00112775" w:rsidRDefault="006757BB" w:rsidP="006757BB">
      <w:pPr>
        <w:ind w:left="993" w:hanging="14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BÜ-Ersatzstecker „rot“ im Stellwerk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den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eingebaut.</w:t>
      </w:r>
    </w:p>
    <w:p w14:paraId="2DE872DA" w14:textId="77777777" w:rsidR="006757BB" w:rsidRPr="00112775" w:rsidRDefault="006757BB" w:rsidP="006757BB">
      <w:pPr>
        <w:ind w:left="993" w:hanging="14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EGL-Ersatzstecker für das Gleis / die Gleise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eingebaut.</w:t>
      </w:r>
    </w:p>
    <w:p w14:paraId="498AE0F3" w14:textId="77777777" w:rsidR="006757BB" w:rsidRPr="00112775" w:rsidRDefault="006757BB" w:rsidP="006757BB">
      <w:pPr>
        <w:ind w:left="993" w:hanging="14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Sensor-Ersatzstecker für das Gleis / die Gleise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eingebaut.</w:t>
      </w:r>
    </w:p>
    <w:sectPr w:rsidR="006757BB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9FDB" w14:textId="77777777" w:rsidR="00FC3319" w:rsidRDefault="00FC3319">
      <w:r>
        <w:separator/>
      </w:r>
    </w:p>
    <w:p w14:paraId="7E56882B" w14:textId="77777777" w:rsidR="00FC3319" w:rsidRDefault="00FC3319"/>
  </w:endnote>
  <w:endnote w:type="continuationSeparator" w:id="0">
    <w:p w14:paraId="61EDB34B" w14:textId="77777777" w:rsidR="00FC3319" w:rsidRDefault="00FC3319">
      <w:r>
        <w:continuationSeparator/>
      </w:r>
    </w:p>
    <w:p w14:paraId="7704231A" w14:textId="77777777" w:rsidR="00FC3319" w:rsidRDefault="00FC3319"/>
  </w:endnote>
  <w:endnote w:type="continuationNotice" w:id="1">
    <w:p w14:paraId="0F1E20E6" w14:textId="77777777" w:rsidR="00FC3319" w:rsidRDefault="00FC33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8CFF" w14:textId="77777777" w:rsidR="00E77C1F" w:rsidRDefault="00E77C1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EFD427C" w:rsidR="00541D85" w:rsidRPr="004C31EE" w:rsidRDefault="00E77C1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6A2C" w14:textId="77777777" w:rsidR="00E77C1F" w:rsidRDefault="00E77C1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2DBC" w14:textId="77777777" w:rsidR="00FC3319" w:rsidRDefault="00FC3319">
      <w:r>
        <w:separator/>
      </w:r>
    </w:p>
    <w:p w14:paraId="525B2571" w14:textId="77777777" w:rsidR="00FC3319" w:rsidRDefault="00FC3319"/>
  </w:footnote>
  <w:footnote w:type="continuationSeparator" w:id="0">
    <w:p w14:paraId="6F21AD8B" w14:textId="77777777" w:rsidR="00FC3319" w:rsidRDefault="00FC3319">
      <w:r>
        <w:continuationSeparator/>
      </w:r>
    </w:p>
    <w:p w14:paraId="7A0BAB73" w14:textId="77777777" w:rsidR="00FC3319" w:rsidRDefault="00FC3319"/>
  </w:footnote>
  <w:footnote w:type="continuationNotice" w:id="1">
    <w:p w14:paraId="738C8CA4" w14:textId="77777777" w:rsidR="00FC3319" w:rsidRDefault="00FC33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1530" w14:textId="77777777" w:rsidR="00E77C1F" w:rsidRDefault="00E77C1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7BB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2E4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C1F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319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558</Characters>
  <Application>Microsoft Office Word</Application>
  <DocSecurity>0</DocSecurity>
  <Lines>93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